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0D78A9">
      <w:pPr>
        <w:jc w:val="center"/>
        <w:rPr>
          <w:rFonts w:hint="eastAsia" w:ascii="宋体" w:hAnsi="宋体"/>
          <w:b/>
          <w:color w:val="auto"/>
          <w:sz w:val="72"/>
          <w:highlight w:val="none"/>
        </w:rPr>
      </w:pPr>
      <w:r>
        <w:rPr>
          <w:rFonts w:hint="eastAsia" w:ascii="宋体" w:hAnsi="宋体"/>
          <w:b/>
          <w:color w:val="auto"/>
          <w:sz w:val="72"/>
          <w:highlight w:val="none"/>
        </w:rPr>
        <w:t>厦 门 市 大 宗 货 物</w:t>
      </w:r>
      <w:r>
        <w:rPr>
          <w:rFonts w:hint="eastAsia" w:ascii="宋体" w:hAnsi="宋体"/>
          <w:b/>
          <w:color w:val="auto"/>
          <w:sz w:val="72"/>
          <w:highlight w:val="none"/>
          <w:lang w:val="en-US" w:eastAsia="zh-CN"/>
        </w:rPr>
        <w:t xml:space="preserve">    </w:t>
      </w:r>
      <w:r>
        <w:rPr>
          <w:rFonts w:hint="eastAsia" w:ascii="宋体" w:hAnsi="宋体"/>
          <w:b/>
          <w:color w:val="auto"/>
          <w:sz w:val="72"/>
          <w:highlight w:val="none"/>
        </w:rPr>
        <w:t xml:space="preserve"> </w:t>
      </w:r>
    </w:p>
    <w:p w14:paraId="671F4268">
      <w:pPr>
        <w:jc w:val="center"/>
        <w:rPr>
          <w:rFonts w:hint="eastAsia" w:ascii="宋体" w:hAnsi="宋体"/>
          <w:b/>
          <w:color w:val="auto"/>
          <w:sz w:val="72"/>
          <w:highlight w:val="none"/>
        </w:rPr>
      </w:pPr>
      <w:r>
        <w:rPr>
          <w:rFonts w:hint="eastAsia" w:ascii="宋体" w:hAnsi="宋体"/>
          <w:b/>
          <w:color w:val="auto"/>
          <w:sz w:val="72"/>
          <w:highlight w:val="none"/>
        </w:rPr>
        <w:t xml:space="preserve">政 府 采 购 项 目 </w:t>
      </w:r>
    </w:p>
    <w:p w14:paraId="1C9A470B">
      <w:pPr>
        <w:spacing w:line="360" w:lineRule="auto"/>
        <w:jc w:val="center"/>
        <w:rPr>
          <w:rFonts w:hint="eastAsia" w:ascii="宋体" w:hAnsi="宋体" w:eastAsia="宋体"/>
          <w:b/>
          <w:color w:val="auto"/>
          <w:sz w:val="72"/>
          <w:highlight w:val="none"/>
          <w:lang w:val="en-US" w:eastAsia="zh-CN"/>
        </w:rPr>
      </w:pPr>
      <w:r>
        <w:rPr>
          <w:rFonts w:hint="eastAsia" w:ascii="宋体" w:hAnsi="宋体"/>
          <w:b/>
          <w:color w:val="auto"/>
          <w:sz w:val="72"/>
          <w:highlight w:val="none"/>
        </w:rPr>
        <w:t>招   标   文   件</w:t>
      </w:r>
      <w:r>
        <w:rPr>
          <w:rFonts w:hint="eastAsia" w:ascii="宋体" w:hAnsi="宋体"/>
          <w:b/>
          <w:color w:val="auto"/>
          <w:sz w:val="72"/>
          <w:highlight w:val="none"/>
          <w:lang w:val="en-US" w:eastAsia="zh-CN"/>
        </w:rPr>
        <w:t xml:space="preserve"> </w:t>
      </w:r>
    </w:p>
    <w:p w14:paraId="0FE1032A">
      <w:pPr>
        <w:spacing w:line="360" w:lineRule="auto"/>
        <w:ind w:firstLine="1438" w:firstLineChars="398"/>
        <w:rPr>
          <w:rFonts w:hint="eastAsia" w:ascii="宋体" w:hAnsi="宋体"/>
          <w:b/>
          <w:color w:val="auto"/>
          <w:sz w:val="36"/>
          <w:highlight w:val="none"/>
        </w:rPr>
      </w:pPr>
    </w:p>
    <w:p w14:paraId="62CF301C">
      <w:pPr>
        <w:spacing w:line="360" w:lineRule="auto"/>
        <w:ind w:firstLine="1438" w:firstLineChars="398"/>
        <w:rPr>
          <w:rFonts w:hint="eastAsia" w:ascii="宋体" w:hAnsi="宋体"/>
          <w:b/>
          <w:color w:val="auto"/>
          <w:sz w:val="36"/>
          <w:highlight w:val="none"/>
        </w:rPr>
      </w:pPr>
    </w:p>
    <w:p w14:paraId="5E7F1405">
      <w:pPr>
        <w:spacing w:line="360" w:lineRule="auto"/>
        <w:ind w:firstLine="1438" w:firstLineChars="398"/>
        <w:rPr>
          <w:rFonts w:hint="eastAsia" w:ascii="宋体" w:hAnsi="宋体"/>
          <w:b/>
          <w:color w:val="auto"/>
          <w:sz w:val="36"/>
          <w:highlight w:val="none"/>
        </w:rPr>
      </w:pPr>
    </w:p>
    <w:p w14:paraId="34D956A4">
      <w:pPr>
        <w:spacing w:line="360" w:lineRule="auto"/>
        <w:ind w:firstLine="1438" w:firstLineChars="398"/>
        <w:rPr>
          <w:rFonts w:hint="eastAsia" w:ascii="宋体" w:hAnsi="宋体"/>
          <w:b/>
          <w:color w:val="auto"/>
          <w:sz w:val="36"/>
          <w:highlight w:val="none"/>
        </w:rPr>
      </w:pPr>
    </w:p>
    <w:p w14:paraId="1B43B8F5">
      <w:pPr>
        <w:spacing w:line="360" w:lineRule="auto"/>
        <w:ind w:firstLine="1438" w:firstLineChars="398"/>
        <w:rPr>
          <w:rFonts w:hint="default" w:ascii="宋体" w:hAnsi="宋体" w:eastAsia="宋体"/>
          <w:b/>
          <w:color w:val="auto"/>
          <w:sz w:val="36"/>
          <w:highlight w:val="none"/>
          <w:u w:val="single"/>
          <w:lang w:val="en-US" w:eastAsia="zh-CN"/>
        </w:rPr>
      </w:pPr>
      <w:r>
        <w:rPr>
          <w:rFonts w:hint="eastAsia" w:ascii="宋体" w:hAnsi="宋体"/>
          <w:b/>
          <w:color w:val="auto"/>
          <w:sz w:val="36"/>
          <w:highlight w:val="none"/>
        </w:rPr>
        <w:t xml:space="preserve">招 标 </w:t>
      </w:r>
      <w:r>
        <w:rPr>
          <w:rFonts w:hint="eastAsia" w:ascii="宋体" w:hAnsi="宋体"/>
          <w:b/>
          <w:color w:val="auto"/>
          <w:sz w:val="36"/>
          <w:highlight w:val="none"/>
        </w:rPr>
        <w:t>编 号：</w:t>
      </w:r>
      <w:r>
        <w:rPr>
          <w:rFonts w:hint="eastAsia" w:ascii="宋体" w:hAnsi="宋体"/>
          <w:b/>
          <w:color w:val="auto"/>
          <w:sz w:val="36"/>
          <w:highlight w:val="none"/>
          <w:u w:val="single"/>
          <w:lang w:eastAsia="zh-CN"/>
        </w:rPr>
        <w:t>XM2026</w:t>
      </w:r>
      <w:r>
        <w:rPr>
          <w:rFonts w:hint="eastAsia" w:ascii="宋体" w:hAnsi="宋体"/>
          <w:b/>
          <w:color w:val="auto"/>
          <w:sz w:val="36"/>
          <w:highlight w:val="none"/>
          <w:u w:val="single"/>
        </w:rPr>
        <w:t>-DZ</w:t>
      </w:r>
      <w:r>
        <w:rPr>
          <w:rFonts w:hint="eastAsia" w:ascii="宋体" w:hAnsi="宋体"/>
          <w:b/>
          <w:color w:val="auto"/>
          <w:sz w:val="36"/>
          <w:highlight w:val="none"/>
          <w:u w:val="single"/>
          <w:lang w:val="en-US" w:eastAsia="zh-CN"/>
        </w:rPr>
        <w:t>0014</w:t>
      </w:r>
    </w:p>
    <w:p w14:paraId="4D9604F3">
      <w:pPr>
        <w:spacing w:line="360" w:lineRule="auto"/>
        <w:ind w:left="3948" w:leftChars="684" w:hanging="2512" w:hangingChars="695"/>
        <w:rPr>
          <w:rFonts w:hint="eastAsia" w:ascii="宋体" w:hAnsi="宋体"/>
          <w:b/>
          <w:color w:val="auto"/>
          <w:sz w:val="36"/>
          <w:highlight w:val="none"/>
          <w:u w:val="single"/>
        </w:rPr>
      </w:pPr>
      <w:r>
        <w:rPr>
          <w:rFonts w:hint="eastAsia" w:ascii="宋体" w:hAnsi="宋体"/>
          <w:b/>
          <w:color w:val="auto"/>
          <w:sz w:val="36"/>
          <w:highlight w:val="none"/>
        </w:rPr>
        <w:t>项 目 名 称：</w:t>
      </w:r>
      <w:r>
        <w:rPr>
          <w:rFonts w:hint="eastAsia" w:ascii="宋体" w:hAnsi="宋体"/>
          <w:b/>
          <w:color w:val="auto"/>
          <w:sz w:val="36"/>
          <w:highlight w:val="none"/>
          <w:lang w:val="en-US" w:eastAsia="zh-CN"/>
        </w:rPr>
        <w:t>2026年福建省厦门集美中学后溪校区家具采购项目</w:t>
      </w:r>
    </w:p>
    <w:p w14:paraId="75393722">
      <w:pPr>
        <w:spacing w:line="360" w:lineRule="auto"/>
        <w:ind w:firstLine="1438" w:firstLineChars="398"/>
        <w:rPr>
          <w:rFonts w:hint="eastAsia" w:ascii="宋体" w:hAnsi="宋体"/>
          <w:b/>
          <w:color w:val="auto"/>
          <w:sz w:val="36"/>
          <w:highlight w:val="none"/>
        </w:rPr>
      </w:pPr>
    </w:p>
    <w:p w14:paraId="207EF24A">
      <w:pPr>
        <w:spacing w:line="360" w:lineRule="auto"/>
        <w:ind w:firstLine="1438" w:firstLineChars="398"/>
        <w:rPr>
          <w:rFonts w:hint="eastAsia" w:ascii="宋体" w:hAnsi="宋体"/>
          <w:b/>
          <w:color w:val="auto"/>
          <w:sz w:val="36"/>
          <w:highlight w:val="none"/>
        </w:rPr>
      </w:pPr>
    </w:p>
    <w:p w14:paraId="17E6B7A7">
      <w:pPr>
        <w:spacing w:line="360" w:lineRule="auto"/>
        <w:ind w:firstLine="1438" w:firstLineChars="398"/>
        <w:rPr>
          <w:rFonts w:hint="eastAsia" w:ascii="宋体" w:hAnsi="宋体"/>
          <w:b/>
          <w:color w:val="auto"/>
          <w:sz w:val="36"/>
          <w:highlight w:val="none"/>
        </w:rPr>
      </w:pPr>
    </w:p>
    <w:p w14:paraId="1EA251F2">
      <w:pPr>
        <w:spacing w:line="360" w:lineRule="auto"/>
        <w:ind w:firstLine="1438" w:firstLineChars="398"/>
        <w:rPr>
          <w:rFonts w:hint="eastAsia" w:ascii="宋体" w:hAnsi="宋体"/>
          <w:b/>
          <w:color w:val="auto"/>
          <w:sz w:val="36"/>
          <w:highlight w:val="none"/>
        </w:rPr>
      </w:pPr>
    </w:p>
    <w:p w14:paraId="50E1B7E5">
      <w:pPr>
        <w:spacing w:line="360" w:lineRule="auto"/>
        <w:ind w:firstLine="1438" w:firstLineChars="398"/>
        <w:rPr>
          <w:rFonts w:hint="eastAsia" w:ascii="宋体" w:hAnsi="宋体"/>
          <w:b/>
          <w:color w:val="auto"/>
          <w:sz w:val="36"/>
          <w:highlight w:val="none"/>
        </w:rPr>
      </w:pPr>
    </w:p>
    <w:p w14:paraId="69EE3902">
      <w:pPr>
        <w:pStyle w:val="5"/>
        <w:ind w:firstLine="1445" w:firstLineChars="400"/>
        <w:jc w:val="left"/>
        <w:rPr>
          <w:rFonts w:hint="eastAsia" w:hAnsi="宋体" w:cs="宋体"/>
          <w:b/>
          <w:color w:val="auto"/>
          <w:spacing w:val="20"/>
          <w:sz w:val="32"/>
          <w:highlight w:val="none"/>
        </w:rPr>
      </w:pPr>
      <w:r>
        <w:rPr>
          <w:rFonts w:hint="eastAsia" w:hAnsi="宋体" w:cs="宋体"/>
          <w:b/>
          <w:color w:val="auto"/>
          <w:spacing w:val="20"/>
          <w:sz w:val="32"/>
          <w:highlight w:val="none"/>
        </w:rPr>
        <w:t>使用单位：</w:t>
      </w:r>
      <w:r>
        <w:rPr>
          <w:rFonts w:hint="eastAsia" w:hAnsi="宋体" w:eastAsia="宋体" w:cs="宋体"/>
          <w:b/>
          <w:color w:val="auto"/>
          <w:spacing w:val="20"/>
          <w:sz w:val="32"/>
          <w:szCs w:val="32"/>
          <w:highlight w:val="none"/>
        </w:rPr>
        <w:t>福建省厦门集美中学</w:t>
      </w:r>
    </w:p>
    <w:p w14:paraId="77EE51EB">
      <w:pPr>
        <w:pStyle w:val="5"/>
        <w:ind w:firstLine="1438" w:firstLineChars="398"/>
        <w:jc w:val="left"/>
        <w:rPr>
          <w:rFonts w:hint="eastAsia" w:hAnsi="宋体" w:cs="宋体"/>
          <w:b/>
          <w:bCs/>
          <w:color w:val="auto"/>
          <w:sz w:val="32"/>
          <w:highlight w:val="none"/>
          <w:u w:val="single"/>
        </w:rPr>
      </w:pPr>
      <w:r>
        <w:rPr>
          <w:rFonts w:hint="eastAsia" w:hAnsi="宋体" w:cs="宋体"/>
          <w:b/>
          <w:color w:val="auto"/>
          <w:spacing w:val="20"/>
          <w:sz w:val="32"/>
          <w:highlight w:val="none"/>
        </w:rPr>
        <w:t>采购单位：</w:t>
      </w:r>
      <w:r>
        <w:rPr>
          <w:rFonts w:hint="eastAsia" w:hAnsi="宋体" w:cs="宋体"/>
          <w:b/>
          <w:bCs/>
          <w:color w:val="auto"/>
          <w:sz w:val="32"/>
          <w:highlight w:val="none"/>
        </w:rPr>
        <w:t>厦门万翔网络商务有限公司</w:t>
      </w:r>
    </w:p>
    <w:p w14:paraId="69C48A18">
      <w:pPr>
        <w:pStyle w:val="5"/>
        <w:spacing w:line="360" w:lineRule="auto"/>
        <w:ind w:firstLine="1438" w:firstLineChars="398"/>
        <w:jc w:val="left"/>
        <w:rPr>
          <w:rFonts w:hint="eastAsia" w:hAnsi="宋体"/>
          <w:b/>
          <w:color w:val="auto"/>
          <w:sz w:val="28"/>
          <w:highlight w:val="none"/>
        </w:rPr>
      </w:pPr>
      <w:r>
        <w:rPr>
          <w:rFonts w:hint="eastAsia" w:hAnsi="宋体"/>
          <w:b/>
          <w:color w:val="auto"/>
          <w:spacing w:val="20"/>
          <w:sz w:val="32"/>
          <w:highlight w:val="none"/>
        </w:rPr>
        <w:t>招标代理机构：</w:t>
      </w:r>
      <w:r>
        <w:rPr>
          <w:rFonts w:hint="eastAsia" w:hAnsi="宋体"/>
          <w:b/>
          <w:bCs/>
          <w:color w:val="auto"/>
          <w:sz w:val="32"/>
          <w:highlight w:val="none"/>
        </w:rPr>
        <w:t>厦门万翔招标有限公司</w:t>
      </w:r>
      <w:r>
        <w:rPr>
          <w:rFonts w:hint="eastAsia" w:hAnsi="宋体"/>
          <w:b/>
          <w:color w:val="auto"/>
          <w:spacing w:val="20"/>
          <w:sz w:val="32"/>
          <w:highlight w:val="none"/>
        </w:rPr>
        <w:t xml:space="preserve"> </w:t>
      </w:r>
    </w:p>
    <w:p w14:paraId="0B778AC6">
      <w:pPr>
        <w:spacing w:line="360" w:lineRule="auto"/>
        <w:ind w:firstLine="1438" w:firstLineChars="398"/>
        <w:rPr>
          <w:rFonts w:hint="eastAsia" w:ascii="宋体" w:hAnsi="宋体"/>
          <w:b/>
          <w:color w:val="auto"/>
          <w:sz w:val="36"/>
          <w:highlight w:val="none"/>
        </w:rPr>
      </w:pPr>
    </w:p>
    <w:p w14:paraId="67C65591">
      <w:pPr>
        <w:pStyle w:val="5"/>
        <w:spacing w:line="360" w:lineRule="auto"/>
        <w:jc w:val="center"/>
        <w:outlineLvl w:val="0"/>
        <w:rPr>
          <w:rFonts w:hint="default" w:hAnsi="宋体" w:eastAsia="宋体"/>
          <w:b/>
          <w:color w:val="auto"/>
          <w:sz w:val="32"/>
          <w:highlight w:val="none"/>
          <w:lang w:val="en-US" w:eastAsia="zh-CN"/>
        </w:rPr>
      </w:pPr>
      <w:r>
        <w:rPr>
          <w:rFonts w:hint="eastAsia" w:hAnsi="宋体"/>
          <w:b/>
          <w:color w:val="auto"/>
          <w:sz w:val="32"/>
          <w:highlight w:val="none"/>
          <w:lang w:eastAsia="zh-CN"/>
        </w:rPr>
        <w:t>2026</w:t>
      </w:r>
      <w:r>
        <w:rPr>
          <w:rFonts w:hint="eastAsia" w:hAnsi="宋体"/>
          <w:b/>
          <w:color w:val="auto"/>
          <w:sz w:val="32"/>
          <w:highlight w:val="none"/>
        </w:rPr>
        <w:t>年</w:t>
      </w:r>
      <w:r>
        <w:rPr>
          <w:rFonts w:hint="eastAsia" w:hAnsi="宋体"/>
          <w:b/>
          <w:color w:val="auto"/>
          <w:sz w:val="32"/>
          <w:highlight w:val="none"/>
          <w:lang w:val="en-US" w:eastAsia="zh-CN"/>
        </w:rPr>
        <w:t>4月</w:t>
      </w:r>
    </w:p>
    <w:p w14:paraId="4A075A7D">
      <w:pPr>
        <w:pStyle w:val="5"/>
        <w:spacing w:line="360" w:lineRule="auto"/>
        <w:jc w:val="center"/>
        <w:outlineLvl w:val="0"/>
        <w:rPr>
          <w:rFonts w:hint="eastAsia" w:hAnsi="宋体"/>
          <w:b/>
          <w:color w:val="auto"/>
          <w:sz w:val="32"/>
          <w:highlight w:val="none"/>
        </w:rPr>
      </w:pPr>
    </w:p>
    <w:p w14:paraId="6ABCDEB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关于政府采购信用贷款的提示</w:t>
      </w:r>
    </w:p>
    <w:p w14:paraId="46A081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（201608版）</w:t>
      </w:r>
    </w:p>
    <w:p w14:paraId="4482D8FE">
      <w:pPr>
        <w:rPr>
          <w:rFonts w:hint="eastAsia" w:ascii="宋体" w:hAnsi="宋体" w:eastAsia="宋体" w:cs="宋体"/>
          <w:color w:val="auto"/>
          <w:sz w:val="24"/>
          <w:szCs w:val="24"/>
          <w:highlight w:val="none"/>
        </w:rPr>
      </w:pPr>
    </w:p>
    <w:p w14:paraId="15A332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14:paraId="37441A2B">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有关金融机构联系方式： </w:t>
      </w:r>
    </w:p>
    <w:p w14:paraId="3A72BEF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（一）中国建设银行厦门分行：</w:t>
      </w:r>
    </w:p>
    <w:p w14:paraId="34EE7EDE">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联系人：魏慧媛   2158595 </w:t>
      </w:r>
    </w:p>
    <w:p w14:paraId="2AF780D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（二）中国光大银行厦门分行：</w:t>
      </w:r>
    </w:p>
    <w:p w14:paraId="2CBD464A">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  虹   2283776、13806013400；朱姗姗   2991131、18050082825</w:t>
      </w:r>
    </w:p>
    <w:p w14:paraId="6E9936A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（三）兴业银行厦门分行</w:t>
      </w:r>
    </w:p>
    <w:p w14:paraId="58AC2E79">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联系人：陈小姐  0592-5312509 13599531245 ；高经理  0592-5312350 13850017508 </w:t>
      </w:r>
    </w:p>
    <w:p w14:paraId="7F0A0B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（四）厦门市担保有限公司：</w:t>
      </w:r>
    </w:p>
    <w:p w14:paraId="11343D2B">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联系人：陈文辉   5125116；吴龙辉   5120019</w:t>
      </w:r>
    </w:p>
    <w:p w14:paraId="0137F1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w:t>
      </w:r>
      <w:r>
        <w:rPr>
          <w:rFonts w:hint="eastAsia" w:ascii="宋体" w:hAnsi="宋体" w:eastAsia="宋体" w:cs="宋体"/>
          <w:color w:val="auto"/>
          <w:sz w:val="24"/>
          <w:szCs w:val="24"/>
          <w:highlight w:val="none"/>
        </w:rPr>
        <w:t xml:space="preserve">厦门银行股份有限公司 </w:t>
      </w:r>
    </w:p>
    <w:p w14:paraId="477BD60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联系人：张冬梅 13395990009 ；陈韵 13656021986</w:t>
      </w:r>
    </w:p>
    <w:p w14:paraId="2FA01BA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以上具体贷款事项，以贷款机构与贷款人最终签订的贷款合同约定为准，贷款人应进一步与贷款金融机构了解详细情况。任何单位和个人均不得干预银企双方开展政府采购信用贷款业务。</w:t>
      </w:r>
    </w:p>
    <w:p w14:paraId="2ECFCC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本提示仅作为信息告知，具体贷款事宜以银行等有关金融机构审批为准。</w:t>
      </w:r>
    </w:p>
    <w:p w14:paraId="5AA175C1">
      <w:pPr>
        <w:spacing w:line="360" w:lineRule="auto"/>
        <w:ind w:firstLine="480" w:firstLineChars="200"/>
        <w:rPr>
          <w:rFonts w:hint="eastAsia" w:ascii="宋体" w:hAnsi="宋体" w:eastAsia="宋体" w:cs="宋体"/>
          <w:color w:val="auto"/>
          <w:sz w:val="24"/>
          <w:szCs w:val="24"/>
          <w:highlight w:val="none"/>
        </w:rPr>
      </w:pPr>
    </w:p>
    <w:p w14:paraId="44DF57C0">
      <w:pPr>
        <w:spacing w:line="360" w:lineRule="auto"/>
        <w:ind w:firstLine="480" w:firstLineChars="200"/>
        <w:rPr>
          <w:rFonts w:hint="eastAsia" w:ascii="宋体" w:hAnsi="宋体" w:eastAsia="宋体" w:cs="宋体"/>
          <w:color w:val="auto"/>
          <w:sz w:val="24"/>
          <w:szCs w:val="24"/>
          <w:highlight w:val="none"/>
        </w:rPr>
      </w:pPr>
    </w:p>
    <w:p w14:paraId="0829BDD8">
      <w:pPr>
        <w:spacing w:line="360" w:lineRule="auto"/>
        <w:ind w:firstLine="480" w:firstLineChars="200"/>
        <w:rPr>
          <w:rFonts w:hint="eastAsia" w:ascii="宋体" w:hAnsi="宋体" w:eastAsia="宋体" w:cs="宋体"/>
          <w:color w:val="auto"/>
          <w:sz w:val="24"/>
          <w:szCs w:val="24"/>
          <w:highlight w:val="none"/>
        </w:rPr>
      </w:pPr>
    </w:p>
    <w:p w14:paraId="31234BD3">
      <w:pPr>
        <w:spacing w:line="360" w:lineRule="auto"/>
        <w:ind w:firstLine="480" w:firstLineChars="200"/>
        <w:rPr>
          <w:rFonts w:hint="eastAsia" w:ascii="宋体" w:hAnsi="宋体" w:eastAsia="宋体" w:cs="宋体"/>
          <w:color w:val="auto"/>
          <w:sz w:val="24"/>
          <w:szCs w:val="24"/>
          <w:highlight w:val="none"/>
        </w:rPr>
      </w:pPr>
    </w:p>
    <w:p w14:paraId="33B03DA3">
      <w:pPr>
        <w:spacing w:line="360" w:lineRule="auto"/>
        <w:ind w:firstLine="0" w:firstLineChars="0"/>
        <w:rPr>
          <w:rFonts w:hint="eastAsia" w:ascii="宋体" w:hAnsi="宋体" w:eastAsia="宋体" w:cs="宋体"/>
          <w:color w:val="auto"/>
          <w:sz w:val="24"/>
          <w:szCs w:val="24"/>
          <w:highlight w:val="none"/>
        </w:rPr>
      </w:pPr>
    </w:p>
    <w:p w14:paraId="1F63819B">
      <w:pPr>
        <w:pStyle w:val="5"/>
        <w:spacing w:line="360" w:lineRule="auto"/>
        <w:jc w:val="center"/>
        <w:outlineLvl w:val="0"/>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 xml:space="preserve">  目   录</w:t>
      </w:r>
    </w:p>
    <w:p w14:paraId="1D7EB775">
      <w:pPr>
        <w:pStyle w:val="2"/>
        <w:snapToGrid w:val="0"/>
        <w:spacing w:line="360" w:lineRule="auto"/>
        <w:ind w:firstLine="0"/>
        <w:rPr>
          <w:rFonts w:hint="eastAsia" w:ascii="宋体" w:hAnsi="宋体" w:eastAsia="宋体" w:cs="宋体"/>
          <w:color w:val="auto"/>
          <w:sz w:val="24"/>
          <w:szCs w:val="24"/>
          <w:highlight w:val="none"/>
        </w:rPr>
      </w:pPr>
    </w:p>
    <w:p w14:paraId="21D7E6FA">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第一章    投标邀请 …………………………………………………1</w:t>
      </w:r>
    </w:p>
    <w:p w14:paraId="169E34D2">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投标邀请函……………………………………………………1-1</w:t>
      </w:r>
    </w:p>
    <w:p w14:paraId="18723F5A">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第二章    投标人须知  ……………………………………………2</w:t>
      </w:r>
    </w:p>
    <w:p w14:paraId="76328F9A">
      <w:pPr>
        <w:spacing w:line="360" w:lineRule="auto"/>
        <w:ind w:firstLine="240" w:firstLineChars="1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投标人须知前附表1、2、3、4 </w:t>
      </w:r>
      <w:r>
        <w:rPr>
          <w:rFonts w:hint="eastAsia" w:ascii="宋体" w:hAnsi="宋体" w:eastAsia="宋体" w:cs="宋体"/>
          <w:color w:val="auto"/>
          <w:sz w:val="24"/>
          <w:szCs w:val="24"/>
          <w:highlight w:val="none"/>
        </w:rPr>
        <w:t>……………………………………2-1-1</w:t>
      </w:r>
    </w:p>
    <w:p w14:paraId="3CE2D7AB">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 说明 ………………………………………………………2-2-1</w:t>
      </w:r>
    </w:p>
    <w:p w14:paraId="5EA86443">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 招标文件 ………………………………………………2-2-</w:t>
      </w:r>
      <w:r>
        <w:rPr>
          <w:rFonts w:hint="eastAsia" w:ascii="宋体" w:hAnsi="宋体" w:eastAsia="宋体" w:cs="宋体"/>
          <w:color w:val="auto"/>
          <w:sz w:val="24"/>
          <w:szCs w:val="24"/>
          <w:highlight w:val="none"/>
          <w:lang w:val="en-US" w:eastAsia="zh-CN"/>
        </w:rPr>
        <w:t>4</w:t>
      </w:r>
    </w:p>
    <w:p w14:paraId="7A19DBBB">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 投标文件的编写 ………………………………………2-2-</w:t>
      </w:r>
      <w:r>
        <w:rPr>
          <w:rFonts w:hint="eastAsia" w:ascii="宋体" w:hAnsi="宋体" w:eastAsia="宋体" w:cs="宋体"/>
          <w:color w:val="auto"/>
          <w:sz w:val="24"/>
          <w:szCs w:val="24"/>
          <w:highlight w:val="none"/>
          <w:lang w:val="en-US" w:eastAsia="zh-CN"/>
        </w:rPr>
        <w:t>5</w:t>
      </w:r>
    </w:p>
    <w:p w14:paraId="34B55C85">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 投标文件的提交 …………………………………………2-2-</w:t>
      </w:r>
      <w:r>
        <w:rPr>
          <w:rFonts w:hint="eastAsia" w:ascii="宋体" w:hAnsi="宋体" w:eastAsia="宋体" w:cs="宋体"/>
          <w:color w:val="auto"/>
          <w:sz w:val="24"/>
          <w:szCs w:val="24"/>
          <w:highlight w:val="none"/>
          <w:lang w:val="en-US" w:eastAsia="zh-CN"/>
        </w:rPr>
        <w:t>8</w:t>
      </w:r>
    </w:p>
    <w:p w14:paraId="2652C5BF">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 投标文件的评估和比较 …………………………………2-2-</w:t>
      </w:r>
      <w:r>
        <w:rPr>
          <w:rFonts w:hint="eastAsia" w:ascii="宋体" w:hAnsi="宋体" w:eastAsia="宋体" w:cs="宋体"/>
          <w:color w:val="auto"/>
          <w:sz w:val="24"/>
          <w:szCs w:val="24"/>
          <w:highlight w:val="none"/>
          <w:lang w:val="en-US" w:eastAsia="zh-CN"/>
        </w:rPr>
        <w:t>9</w:t>
      </w:r>
    </w:p>
    <w:p w14:paraId="11709573">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 定标与签订合同…………………………………………2-2-1</w:t>
      </w:r>
      <w:r>
        <w:rPr>
          <w:rFonts w:hint="eastAsia" w:ascii="宋体" w:hAnsi="宋体" w:eastAsia="宋体" w:cs="宋体"/>
          <w:color w:val="auto"/>
          <w:sz w:val="24"/>
          <w:szCs w:val="24"/>
          <w:highlight w:val="none"/>
          <w:lang w:val="en-US" w:eastAsia="zh-CN"/>
        </w:rPr>
        <w:t>2</w:t>
      </w:r>
    </w:p>
    <w:p w14:paraId="684DFE7B">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 意外情况的处理  ……………………………………  2-2-</w:t>
      </w:r>
      <w:r>
        <w:rPr>
          <w:rFonts w:hint="eastAsia" w:ascii="宋体" w:hAnsi="宋体" w:eastAsia="宋体" w:cs="宋体"/>
          <w:color w:val="auto"/>
          <w:sz w:val="24"/>
          <w:szCs w:val="24"/>
          <w:highlight w:val="none"/>
          <w:lang w:val="en-US" w:eastAsia="zh-CN"/>
        </w:rPr>
        <w:t>15</w:t>
      </w:r>
    </w:p>
    <w:p w14:paraId="1182BDE0">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第三章    招标内容及要求  ……………………………………3-1</w:t>
      </w:r>
    </w:p>
    <w:p w14:paraId="6F4E2E17">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第四章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rPr>
        <w:t>政府采购货物买卖合同（试行）</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…………………4-1</w:t>
      </w:r>
    </w:p>
    <w:p w14:paraId="2704E20D">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第五章    投标文件格式 …………………………………………5-1</w:t>
      </w:r>
    </w:p>
    <w:p w14:paraId="7014F2D5">
      <w:pPr>
        <w:pStyle w:val="2"/>
        <w:spacing w:line="360" w:lineRule="auto"/>
        <w:ind w:firstLine="2250" w:firstLineChars="934"/>
        <w:rPr>
          <w:rFonts w:hint="eastAsia" w:ascii="宋体" w:hAnsi="宋体" w:eastAsia="宋体" w:cs="宋体"/>
          <w:b/>
          <w:color w:val="auto"/>
          <w:sz w:val="24"/>
          <w:szCs w:val="24"/>
          <w:highlight w:val="none"/>
          <w:u w:val="single"/>
        </w:rPr>
        <w:sectPr>
          <w:footerReference r:id="rId5" w:type="first"/>
          <w:headerReference r:id="rId3" w:type="default"/>
          <w:footerReference r:id="rId4" w:type="default"/>
          <w:pgSz w:w="11906" w:h="16838"/>
          <w:pgMar w:top="1440" w:right="1800" w:bottom="1440" w:left="1800" w:header="851" w:footer="992" w:gutter="0"/>
          <w:cols w:space="720" w:num="1"/>
          <w:docGrid w:type="lines" w:linePitch="312" w:charSpace="0"/>
        </w:sectPr>
      </w:pPr>
    </w:p>
    <w:p w14:paraId="5FD9E8AF">
      <w:pPr>
        <w:pStyle w:val="15"/>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第一章  投标邀请函</w:t>
      </w:r>
    </w:p>
    <w:p w14:paraId="645247D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w:t>
      </w:r>
      <w:r>
        <w:rPr>
          <w:rFonts w:hint="eastAsia" w:ascii="宋体" w:hAnsi="宋体" w:cs="宋体"/>
          <w:b/>
          <w:color w:val="auto"/>
          <w:sz w:val="24"/>
          <w:szCs w:val="24"/>
          <w:highlight w:val="none"/>
          <w:u w:val="single"/>
        </w:rPr>
        <w:t>厦门万翔网络商务有限公司</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rPr>
        <w:t>委托，</w:t>
      </w:r>
      <w:r>
        <w:rPr>
          <w:rFonts w:hint="eastAsia" w:ascii="宋体" w:hAnsi="宋体" w:eastAsia="宋体" w:cs="宋体"/>
          <w:b/>
          <w:color w:val="auto"/>
          <w:sz w:val="24"/>
          <w:szCs w:val="24"/>
          <w:highlight w:val="none"/>
          <w:u w:val="single"/>
        </w:rPr>
        <w:t>厦门万翔招标有</w:t>
      </w:r>
      <w:r>
        <w:rPr>
          <w:rFonts w:hint="eastAsia" w:ascii="宋体" w:hAnsi="宋体" w:eastAsia="宋体" w:cs="宋体"/>
          <w:b/>
          <w:color w:val="auto"/>
          <w:sz w:val="24"/>
          <w:szCs w:val="24"/>
          <w:highlight w:val="none"/>
          <w:u w:val="single"/>
        </w:rPr>
        <w:t>限公司</w:t>
      </w:r>
      <w:r>
        <w:rPr>
          <w:rFonts w:hint="eastAsia" w:ascii="宋体" w:hAnsi="宋体" w:eastAsia="宋体" w:cs="宋体"/>
          <w:color w:val="auto"/>
          <w:sz w:val="24"/>
          <w:szCs w:val="24"/>
          <w:highlight w:val="none"/>
        </w:rPr>
        <w:t>对【</w:t>
      </w:r>
      <w:r>
        <w:rPr>
          <w:rFonts w:hint="eastAsia" w:ascii="宋体" w:hAnsi="宋体" w:eastAsia="宋体" w:cs="宋体"/>
          <w:b/>
          <w:bCs/>
          <w:color w:val="auto"/>
          <w:sz w:val="24"/>
          <w:szCs w:val="24"/>
          <w:highlight w:val="none"/>
          <w:lang w:val="en-US" w:eastAsia="zh-CN"/>
        </w:rPr>
        <w:t>2026年福建省厦门集美中学后溪校区家具采购项目</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货物（或服务）进行</w:t>
      </w:r>
      <w:r>
        <w:rPr>
          <w:rFonts w:hint="eastAsia" w:ascii="宋体" w:hAnsi="宋体" w:eastAsia="宋体" w:cs="宋体"/>
          <w:b/>
          <w:bCs/>
          <w:color w:val="auto"/>
          <w:sz w:val="24"/>
          <w:szCs w:val="24"/>
          <w:highlight w:val="none"/>
          <w:u w:val="single"/>
        </w:rPr>
        <w:t>国</w:t>
      </w:r>
      <w:r>
        <w:rPr>
          <w:rFonts w:hint="eastAsia" w:ascii="宋体" w:hAnsi="宋体" w:eastAsia="宋体" w:cs="宋体"/>
          <w:b/>
          <w:bCs/>
          <w:color w:val="auto"/>
          <w:sz w:val="24"/>
          <w:szCs w:val="24"/>
          <w:highlight w:val="none"/>
          <w:u w:val="single"/>
        </w:rPr>
        <w:t>内公开招标</w:t>
      </w:r>
      <w:r>
        <w:rPr>
          <w:rFonts w:hint="eastAsia" w:ascii="宋体" w:hAnsi="宋体" w:eastAsia="宋体" w:cs="宋体"/>
          <w:color w:val="auto"/>
          <w:sz w:val="24"/>
          <w:szCs w:val="24"/>
          <w:highlight w:val="none"/>
        </w:rPr>
        <w:t>，现欢迎国内合格的投标人前来投标。</w:t>
      </w:r>
    </w:p>
    <w:p w14:paraId="6F0B5F8F">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1、招标编</w:t>
      </w:r>
      <w:r>
        <w:rPr>
          <w:rFonts w:hint="eastAsia" w:ascii="宋体" w:hAnsi="宋体" w:eastAsia="宋体" w:cs="宋体"/>
          <w:color w:val="auto"/>
          <w:sz w:val="24"/>
          <w:szCs w:val="24"/>
          <w:highlight w:val="none"/>
        </w:rPr>
        <w:t>号：</w:t>
      </w:r>
      <w:r>
        <w:rPr>
          <w:rFonts w:hint="eastAsia" w:ascii="宋体" w:hAnsi="宋体" w:cs="宋体"/>
          <w:color w:val="auto"/>
          <w:sz w:val="24"/>
          <w:szCs w:val="24"/>
          <w:highlight w:val="none"/>
          <w:u w:val="single"/>
          <w:lang w:eastAsia="zh-CN"/>
        </w:rPr>
        <w:t>XM2026</w:t>
      </w:r>
      <w:r>
        <w:rPr>
          <w:rFonts w:hint="eastAsia" w:ascii="宋体" w:hAnsi="宋体" w:eastAsia="宋体" w:cs="宋体"/>
          <w:color w:val="auto"/>
          <w:sz w:val="24"/>
          <w:szCs w:val="24"/>
          <w:highlight w:val="none"/>
          <w:u w:val="single"/>
        </w:rPr>
        <w:t>-DZ</w:t>
      </w:r>
      <w:r>
        <w:rPr>
          <w:rFonts w:hint="eastAsia" w:ascii="宋体" w:hAnsi="宋体" w:cs="宋体"/>
          <w:color w:val="auto"/>
          <w:sz w:val="24"/>
          <w:szCs w:val="24"/>
          <w:highlight w:val="none"/>
          <w:u w:val="single"/>
          <w:lang w:val="en-US" w:eastAsia="zh-CN"/>
        </w:rPr>
        <w:t>0014</w:t>
      </w:r>
      <w:r>
        <w:rPr>
          <w:rFonts w:hint="eastAsia" w:ascii="宋体" w:hAnsi="宋体" w:eastAsia="宋体" w:cs="宋体"/>
          <w:color w:val="auto"/>
          <w:sz w:val="24"/>
          <w:szCs w:val="24"/>
          <w:highlight w:val="none"/>
          <w:u w:val="single"/>
        </w:rPr>
        <w:t>。</w:t>
      </w:r>
    </w:p>
    <w:p w14:paraId="03F63B76">
      <w:pPr>
        <w:spacing w:line="360" w:lineRule="auto"/>
        <w:ind w:firstLine="424" w:firstLineChars="200"/>
        <w:rPr>
          <w:rFonts w:hint="eastAsia" w:ascii="宋体" w:hAnsi="宋体" w:eastAsia="宋体" w:cs="宋体"/>
          <w:color w:val="auto"/>
          <w:spacing w:val="-14"/>
          <w:sz w:val="24"/>
          <w:szCs w:val="24"/>
          <w:highlight w:val="none"/>
        </w:rPr>
      </w:pPr>
      <w:r>
        <w:rPr>
          <w:rFonts w:hint="eastAsia" w:ascii="宋体" w:hAnsi="宋体" w:eastAsia="宋体" w:cs="宋体"/>
          <w:color w:val="auto"/>
          <w:spacing w:val="-14"/>
          <w:sz w:val="24"/>
          <w:szCs w:val="24"/>
          <w:highlight w:val="none"/>
        </w:rPr>
        <w:t>2、招标货物（服务）名称、数量及主要技术规格：见后</w:t>
      </w:r>
      <w:r>
        <w:rPr>
          <w:rFonts w:hint="eastAsia" w:ascii="宋体" w:hAnsi="宋体" w:eastAsia="宋体" w:cs="宋体"/>
          <w:color w:val="auto"/>
          <w:sz w:val="24"/>
          <w:szCs w:val="24"/>
          <w:highlight w:val="none"/>
        </w:rPr>
        <w:t>附招标货物（</w:t>
      </w:r>
      <w:r>
        <w:rPr>
          <w:rFonts w:hint="eastAsia" w:ascii="宋体" w:hAnsi="宋体" w:eastAsia="宋体" w:cs="宋体"/>
          <w:color w:val="auto"/>
          <w:spacing w:val="-14"/>
          <w:sz w:val="24"/>
          <w:szCs w:val="24"/>
          <w:highlight w:val="none"/>
        </w:rPr>
        <w:t>服务）</w:t>
      </w:r>
      <w:r>
        <w:rPr>
          <w:rFonts w:hint="eastAsia" w:ascii="宋体" w:hAnsi="宋体" w:eastAsia="宋体" w:cs="宋体"/>
          <w:color w:val="auto"/>
          <w:sz w:val="24"/>
          <w:szCs w:val="24"/>
          <w:highlight w:val="none"/>
        </w:rPr>
        <w:t>一览表。</w:t>
      </w:r>
    </w:p>
    <w:p w14:paraId="358A73B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3、招标文件获取方式：</w:t>
      </w:r>
      <w:r>
        <w:rPr>
          <w:rFonts w:hint="eastAsia" w:ascii="宋体" w:hAnsi="宋体" w:cs="宋体"/>
          <w:b/>
          <w:bCs w:val="0"/>
          <w:color w:val="auto"/>
          <w:sz w:val="24"/>
          <w:szCs w:val="24"/>
          <w:highlight w:val="none"/>
          <w:lang w:eastAsia="zh-CN"/>
        </w:rPr>
        <w:t>2026</w:t>
      </w:r>
      <w:r>
        <w:rPr>
          <w:rFonts w:hint="eastAsia" w:ascii="宋体" w:hAnsi="宋体" w:eastAsia="宋体" w:cs="宋体"/>
          <w:b/>
          <w:bCs w:val="0"/>
          <w:color w:val="auto"/>
          <w:sz w:val="24"/>
          <w:szCs w:val="24"/>
          <w:highlight w:val="none"/>
        </w:rPr>
        <w:t>年</w:t>
      </w:r>
      <w:r>
        <w:rPr>
          <w:rFonts w:hint="eastAsia" w:ascii="宋体" w:hAnsi="宋体" w:cs="宋体"/>
          <w:b/>
          <w:bCs w:val="0"/>
          <w:color w:val="auto"/>
          <w:sz w:val="24"/>
          <w:szCs w:val="24"/>
          <w:highlight w:val="none"/>
          <w:lang w:val="en-US" w:eastAsia="zh-CN"/>
        </w:rPr>
        <w:t>4</w:t>
      </w:r>
      <w:r>
        <w:rPr>
          <w:rFonts w:hint="eastAsia" w:ascii="宋体" w:hAnsi="宋体" w:eastAsia="宋体" w:cs="宋体"/>
          <w:b/>
          <w:bCs w:val="0"/>
          <w:color w:val="auto"/>
          <w:sz w:val="24"/>
          <w:szCs w:val="24"/>
          <w:highlight w:val="none"/>
        </w:rPr>
        <w:t>月</w:t>
      </w:r>
      <w:r>
        <w:rPr>
          <w:rFonts w:hint="eastAsia" w:ascii="宋体" w:hAnsi="宋体" w:cs="宋体"/>
          <w:b/>
          <w:bCs w:val="0"/>
          <w:color w:val="auto"/>
          <w:sz w:val="24"/>
          <w:szCs w:val="24"/>
          <w:highlight w:val="none"/>
          <w:lang w:val="en-US" w:eastAsia="zh-CN"/>
        </w:rPr>
        <w:t>9</w:t>
      </w:r>
      <w:r>
        <w:rPr>
          <w:rFonts w:hint="eastAsia" w:ascii="宋体" w:hAnsi="宋体" w:eastAsia="宋体" w:cs="宋体"/>
          <w:b/>
          <w:bCs w:val="0"/>
          <w:color w:val="auto"/>
          <w:sz w:val="24"/>
          <w:szCs w:val="24"/>
          <w:highlight w:val="none"/>
        </w:rPr>
        <w:t>日至</w:t>
      </w:r>
      <w:r>
        <w:rPr>
          <w:rFonts w:hint="eastAsia" w:ascii="宋体" w:hAnsi="宋体" w:cs="宋体"/>
          <w:b/>
          <w:bCs w:val="0"/>
          <w:color w:val="auto"/>
          <w:sz w:val="24"/>
          <w:szCs w:val="24"/>
          <w:highlight w:val="none"/>
          <w:lang w:eastAsia="zh-CN"/>
        </w:rPr>
        <w:t>2026</w:t>
      </w:r>
      <w:r>
        <w:rPr>
          <w:rFonts w:hint="eastAsia" w:ascii="宋体" w:hAnsi="宋体" w:eastAsia="宋体" w:cs="宋体"/>
          <w:b/>
          <w:bCs w:val="0"/>
          <w:color w:val="auto"/>
          <w:sz w:val="24"/>
          <w:szCs w:val="24"/>
          <w:highlight w:val="none"/>
        </w:rPr>
        <w:t>年</w:t>
      </w:r>
      <w:r>
        <w:rPr>
          <w:rFonts w:hint="eastAsia" w:ascii="宋体" w:hAnsi="宋体" w:cs="宋体"/>
          <w:b/>
          <w:bCs w:val="0"/>
          <w:color w:val="auto"/>
          <w:sz w:val="24"/>
          <w:szCs w:val="24"/>
          <w:highlight w:val="none"/>
          <w:lang w:val="en-US" w:eastAsia="zh-CN"/>
        </w:rPr>
        <w:t>4</w:t>
      </w:r>
      <w:r>
        <w:rPr>
          <w:rFonts w:hint="eastAsia" w:ascii="宋体" w:hAnsi="宋体" w:eastAsia="宋体" w:cs="宋体"/>
          <w:b/>
          <w:bCs w:val="0"/>
          <w:color w:val="auto"/>
          <w:sz w:val="24"/>
          <w:szCs w:val="24"/>
          <w:highlight w:val="none"/>
        </w:rPr>
        <w:t>月</w:t>
      </w:r>
      <w:r>
        <w:rPr>
          <w:rFonts w:hint="eastAsia" w:ascii="宋体" w:hAnsi="宋体" w:cs="宋体"/>
          <w:b/>
          <w:bCs w:val="0"/>
          <w:color w:val="auto"/>
          <w:sz w:val="24"/>
          <w:szCs w:val="24"/>
          <w:highlight w:val="none"/>
          <w:lang w:val="en-US" w:eastAsia="zh-CN"/>
        </w:rPr>
        <w:t>16</w:t>
      </w:r>
      <w:r>
        <w:rPr>
          <w:rFonts w:hint="eastAsia" w:ascii="宋体" w:hAnsi="宋体" w:eastAsia="宋体" w:cs="宋体"/>
          <w:b/>
          <w:bCs w:val="0"/>
          <w:color w:val="auto"/>
          <w:sz w:val="24"/>
          <w:szCs w:val="24"/>
          <w:highlight w:val="none"/>
        </w:rPr>
        <w:t>日</w:t>
      </w:r>
      <w:r>
        <w:rPr>
          <w:rFonts w:hint="eastAsia" w:ascii="宋体" w:hAnsi="宋体" w:eastAsia="宋体" w:cs="宋体"/>
          <w:color w:val="auto"/>
          <w:sz w:val="24"/>
          <w:szCs w:val="24"/>
          <w:highlight w:val="none"/>
        </w:rPr>
        <w:t>，有意向的供应商应在厦门招投标网（http:// www.xmztb.com，下同）注册账号，登录后可免费在线浏览招标文件，完成缴费并下载招标文件后方具备投标资格。缴费仅支持在线扫码支付。</w:t>
      </w:r>
    </w:p>
    <w:p w14:paraId="7AD5B93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A、供应商注册详见厦门招投标网－办事指南－操作手册—《供应商注册登记操作手册》</w:t>
      </w:r>
    </w:p>
    <w:p w14:paraId="2D205E4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B、缴费及下载招标文件详见厦门招投标网－办事指南－操作手册—《供应商招标项目操作手册》</w:t>
      </w:r>
    </w:p>
    <w:p w14:paraId="782599D7">
      <w:pPr>
        <w:pStyle w:val="5"/>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4、招标文件售价：</w:t>
      </w:r>
      <w:r>
        <w:rPr>
          <w:rFonts w:hint="eastAsia" w:ascii="宋体" w:hAnsi="宋体" w:eastAsia="宋体" w:cs="宋体"/>
          <w:b/>
          <w:bCs/>
          <w:color w:val="auto"/>
          <w:sz w:val="24"/>
          <w:szCs w:val="24"/>
          <w:highlight w:val="none"/>
        </w:rPr>
        <w:t>每个合同包</w:t>
      </w:r>
      <w:r>
        <w:rPr>
          <w:rFonts w:hint="eastAsia" w:hAnsi="宋体" w:cs="宋体"/>
          <w:b/>
          <w:bCs/>
          <w:color w:val="auto"/>
          <w:sz w:val="24"/>
          <w:szCs w:val="24"/>
          <w:highlight w:val="none"/>
          <w:u w:val="single"/>
          <w:lang w:val="en-US" w:eastAsia="zh-CN"/>
        </w:rPr>
        <w:t>0</w:t>
      </w:r>
      <w:r>
        <w:rPr>
          <w:rFonts w:hint="eastAsia" w:ascii="宋体" w:hAnsi="宋体" w:eastAsia="宋体" w:cs="宋体"/>
          <w:b/>
          <w:bCs/>
          <w:color w:val="auto"/>
          <w:sz w:val="24"/>
          <w:szCs w:val="24"/>
          <w:highlight w:val="none"/>
        </w:rPr>
        <w:t>元人民币，售后不退。</w:t>
      </w:r>
    </w:p>
    <w:p w14:paraId="6631374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5、投标截止时间：投标文件应于</w:t>
      </w:r>
      <w:r>
        <w:rPr>
          <w:rFonts w:hint="eastAsia" w:ascii="宋体" w:hAnsi="宋体" w:cs="宋体"/>
          <w:b/>
          <w:bCs/>
          <w:color w:val="auto"/>
          <w:sz w:val="24"/>
          <w:szCs w:val="24"/>
          <w:highlight w:val="none"/>
          <w:lang w:eastAsia="zh-CN"/>
        </w:rPr>
        <w:t>2026</w:t>
      </w:r>
      <w:r>
        <w:rPr>
          <w:rFonts w:hint="eastAsia" w:ascii="宋体" w:hAnsi="宋体" w:eastAsia="宋体" w:cs="宋体"/>
          <w:b/>
          <w:bCs/>
          <w:color w:val="auto"/>
          <w:sz w:val="24"/>
          <w:szCs w:val="24"/>
          <w:highlight w:val="none"/>
        </w:rPr>
        <w:t>年</w:t>
      </w:r>
      <w:r>
        <w:rPr>
          <w:rFonts w:hint="eastAsia" w:ascii="宋体" w:hAnsi="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月</w:t>
      </w:r>
      <w:r>
        <w:rPr>
          <w:rFonts w:hint="eastAsia" w:ascii="宋体" w:hAnsi="宋体" w:cs="宋体"/>
          <w:b/>
          <w:bCs/>
          <w:color w:val="auto"/>
          <w:sz w:val="24"/>
          <w:szCs w:val="24"/>
          <w:highlight w:val="none"/>
          <w:lang w:val="en-US" w:eastAsia="zh-CN"/>
        </w:rPr>
        <w:t>30</w:t>
      </w:r>
      <w:r>
        <w:rPr>
          <w:rFonts w:hint="eastAsia" w:ascii="宋体" w:hAnsi="宋体" w:eastAsia="宋体" w:cs="宋体"/>
          <w:b/>
          <w:bCs/>
          <w:color w:val="auto"/>
          <w:sz w:val="24"/>
          <w:szCs w:val="24"/>
          <w:highlight w:val="none"/>
        </w:rPr>
        <w:t>日</w:t>
      </w:r>
      <w:r>
        <w:rPr>
          <w:rFonts w:hint="eastAsia" w:ascii="宋体" w:hAnsi="宋体" w:cs="宋体"/>
          <w:b/>
          <w:bCs/>
          <w:color w:val="auto"/>
          <w:sz w:val="24"/>
          <w:szCs w:val="24"/>
          <w:highlight w:val="none"/>
          <w:lang w:val="en-US" w:eastAsia="zh-CN"/>
        </w:rPr>
        <w:t>下午13：30</w:t>
      </w:r>
      <w:r>
        <w:rPr>
          <w:rFonts w:hint="eastAsia" w:ascii="宋体" w:hAnsi="宋体" w:eastAsia="宋体" w:cs="宋体"/>
          <w:color w:val="auto"/>
          <w:sz w:val="24"/>
          <w:szCs w:val="24"/>
          <w:highlight w:val="none"/>
        </w:rPr>
        <w:t>（北京时间）之前登录厦门招投标网上传投标文件。已上传但未提示上传成功的投标无效。</w:t>
      </w:r>
    </w:p>
    <w:p w14:paraId="5E8A85A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A、网上投标详见厦门招投标网－</w:t>
      </w:r>
      <w:r>
        <w:rPr>
          <w:rFonts w:hint="eastAsia" w:ascii="宋体" w:hAnsi="宋体" w:eastAsia="宋体" w:cs="宋体"/>
          <w:color w:val="auto"/>
          <w:sz w:val="24"/>
          <w:szCs w:val="24"/>
          <w:highlight w:val="none"/>
          <w:lang w:val="en-US" w:eastAsia="zh-CN"/>
        </w:rPr>
        <w:t>办事</w:t>
      </w:r>
      <w:r>
        <w:rPr>
          <w:rFonts w:hint="eastAsia" w:ascii="宋体" w:hAnsi="宋体" w:eastAsia="宋体" w:cs="宋体"/>
          <w:color w:val="auto"/>
          <w:sz w:val="24"/>
          <w:szCs w:val="24"/>
          <w:highlight w:val="none"/>
          <w:lang w:val="en-US" w:eastAsia="zh-CN"/>
        </w:rPr>
        <w:t>指南</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操作手册—</w:t>
      </w: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val="en-US" w:eastAsia="zh-CN"/>
        </w:rPr>
        <w:t>招标项目</w:t>
      </w:r>
      <w:r>
        <w:rPr>
          <w:rFonts w:hint="eastAsia" w:ascii="宋体" w:hAnsi="宋体" w:eastAsia="宋体" w:cs="宋体"/>
          <w:color w:val="auto"/>
          <w:sz w:val="24"/>
          <w:szCs w:val="24"/>
          <w:highlight w:val="none"/>
        </w:rPr>
        <w:t>操作手册》。</w:t>
      </w:r>
    </w:p>
    <w:p w14:paraId="16635549">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shd w:val="clear" w:color="auto" w:fill="FFFFFF"/>
        </w:rPr>
        <w:t>B</w:t>
      </w:r>
      <w:r>
        <w:rPr>
          <w:rFonts w:hint="eastAsia" w:ascii="宋体" w:hAnsi="宋体" w:cs="宋体"/>
          <w:color w:val="auto"/>
          <w:sz w:val="24"/>
          <w:szCs w:val="24"/>
          <w:highlight w:val="none"/>
        </w:rPr>
        <w:t>、</w:t>
      </w:r>
      <w:r>
        <w:rPr>
          <w:rStyle w:val="13"/>
          <w:rFonts w:ascii="Helvetica" w:hAnsi="Helvetica" w:eastAsia="Helvetica" w:cs="Helvetica"/>
          <w:b w:val="0"/>
          <w:bCs w:val="0"/>
          <w:color w:val="auto"/>
          <w:sz w:val="24"/>
          <w:szCs w:val="24"/>
          <w:highlight w:val="none"/>
          <w:shd w:val="clear" w:color="auto" w:fill="FFFFFF"/>
        </w:rPr>
        <w:t>数字证书办理</w:t>
      </w:r>
      <w:r>
        <w:rPr>
          <w:rStyle w:val="13"/>
          <w:rFonts w:hint="eastAsia" w:ascii="Helvetica" w:hAnsi="Helvetica" w:cs="Helvetica"/>
          <w:b w:val="0"/>
          <w:bCs w:val="0"/>
          <w:color w:val="auto"/>
          <w:sz w:val="24"/>
          <w:szCs w:val="24"/>
          <w:highlight w:val="none"/>
          <w:shd w:val="clear" w:color="auto" w:fill="FFFFFF"/>
        </w:rPr>
        <w:t>详见</w:t>
      </w:r>
      <w:r>
        <w:rPr>
          <w:rFonts w:hint="eastAsia" w:ascii="宋体" w:hAnsi="宋体" w:cs="宋体"/>
          <w:color w:val="auto"/>
          <w:sz w:val="24"/>
          <w:szCs w:val="24"/>
          <w:highlight w:val="none"/>
        </w:rPr>
        <w:t>厦门招投标网－办事指南－操作手册—《投标流程》</w:t>
      </w:r>
    </w:p>
    <w:p w14:paraId="7D0D3708">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6、开标时间:</w:t>
      </w:r>
      <w:r>
        <w:rPr>
          <w:rFonts w:hint="eastAsia" w:ascii="宋体" w:hAnsi="宋体" w:cs="宋体"/>
          <w:b/>
          <w:bCs/>
          <w:color w:val="auto"/>
          <w:sz w:val="24"/>
          <w:szCs w:val="24"/>
          <w:highlight w:val="none"/>
          <w:lang w:eastAsia="zh-CN"/>
        </w:rPr>
        <w:t>2026</w:t>
      </w:r>
      <w:r>
        <w:rPr>
          <w:rFonts w:hint="eastAsia" w:ascii="宋体" w:hAnsi="宋体" w:eastAsia="宋体" w:cs="宋体"/>
          <w:b/>
          <w:bCs/>
          <w:color w:val="auto"/>
          <w:sz w:val="24"/>
          <w:szCs w:val="24"/>
          <w:highlight w:val="none"/>
        </w:rPr>
        <w:t>年</w:t>
      </w:r>
      <w:r>
        <w:rPr>
          <w:rFonts w:hint="eastAsia" w:ascii="宋体" w:hAnsi="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月</w:t>
      </w:r>
      <w:r>
        <w:rPr>
          <w:rFonts w:hint="eastAsia" w:ascii="宋体" w:hAnsi="宋体" w:cs="宋体"/>
          <w:b/>
          <w:bCs/>
          <w:color w:val="auto"/>
          <w:sz w:val="24"/>
          <w:szCs w:val="24"/>
          <w:highlight w:val="none"/>
          <w:lang w:val="en-US" w:eastAsia="zh-CN"/>
        </w:rPr>
        <w:t>30</w:t>
      </w:r>
      <w:r>
        <w:rPr>
          <w:rFonts w:hint="eastAsia" w:ascii="宋体" w:hAnsi="宋体" w:eastAsia="宋体" w:cs="宋体"/>
          <w:b/>
          <w:bCs/>
          <w:color w:val="auto"/>
          <w:sz w:val="24"/>
          <w:szCs w:val="24"/>
          <w:highlight w:val="none"/>
        </w:rPr>
        <w:t>日</w:t>
      </w:r>
      <w:r>
        <w:rPr>
          <w:rFonts w:hint="eastAsia" w:ascii="宋体" w:hAnsi="宋体" w:cs="宋体"/>
          <w:b/>
          <w:bCs/>
          <w:color w:val="auto"/>
          <w:sz w:val="24"/>
          <w:szCs w:val="24"/>
          <w:highlight w:val="none"/>
          <w:lang w:val="en-US" w:eastAsia="zh-CN"/>
        </w:rPr>
        <w:t>下午13：30</w:t>
      </w:r>
      <w:r>
        <w:rPr>
          <w:rFonts w:hint="eastAsia" w:ascii="宋体" w:hAnsi="宋体" w:eastAsia="宋体" w:cs="宋体"/>
          <w:color w:val="auto"/>
          <w:sz w:val="24"/>
          <w:szCs w:val="24"/>
          <w:highlight w:val="none"/>
        </w:rPr>
        <w:t>（北京时</w:t>
      </w:r>
      <w:r>
        <w:rPr>
          <w:rFonts w:hint="eastAsia" w:ascii="宋体" w:hAnsi="宋体" w:eastAsia="宋体" w:cs="宋体"/>
          <w:color w:val="auto"/>
          <w:sz w:val="24"/>
          <w:szCs w:val="24"/>
          <w:highlight w:val="none"/>
        </w:rPr>
        <w:t>间）于厦门招投标网进行公开开标。</w:t>
      </w:r>
      <w:r>
        <w:rPr>
          <w:rFonts w:hint="eastAsia" w:ascii="宋体" w:hAnsi="宋体" w:cs="宋体"/>
          <w:b/>
          <w:color w:val="auto"/>
          <w:sz w:val="24"/>
          <w:szCs w:val="24"/>
          <w:highlight w:val="none"/>
          <w:u w:val="single"/>
        </w:rPr>
        <w:t xml:space="preserve">厦门市湖里区云顶北路842号厦门市行政服务中心4楼开标室3(C401) </w:t>
      </w:r>
      <w:r>
        <w:rPr>
          <w:rFonts w:hint="eastAsia" w:ascii="宋体" w:hAnsi="宋体" w:cs="宋体"/>
          <w:b/>
          <w:color w:val="auto"/>
          <w:sz w:val="24"/>
          <w:szCs w:val="24"/>
          <w:highlight w:val="none"/>
          <w:u w:val="single"/>
          <w:lang w:eastAsia="zh-CN"/>
        </w:rPr>
        <w:t>。</w:t>
      </w:r>
      <w:r>
        <w:rPr>
          <w:rFonts w:hint="eastAsia" w:ascii="宋体" w:hAnsi="宋体" w:eastAsia="宋体" w:cs="宋体"/>
          <w:color w:val="auto"/>
          <w:sz w:val="24"/>
          <w:szCs w:val="24"/>
          <w:highlight w:val="none"/>
        </w:rPr>
        <w:t>投标人可登陆厦门招投标网查看开标全过程。</w:t>
      </w:r>
    </w:p>
    <w:p w14:paraId="6614210D">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7、本项目</w:t>
      </w: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不接受</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联合体投标。</w:t>
      </w:r>
    </w:p>
    <w:p w14:paraId="11BC7991">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A、接受联合体投标且投标人为联合体的，全部联合体组成成员都应在厦门招投标网注册账号。</w:t>
      </w:r>
    </w:p>
    <w:p w14:paraId="05A20CFD">
      <w:pPr>
        <w:spacing w:line="360" w:lineRule="auto"/>
        <w:ind w:firstLine="360" w:firstLineChars="150"/>
        <w:rPr>
          <w:rFonts w:ascii="宋体" w:hAnsi="宋体" w:cs="宋体"/>
          <w:bCs/>
          <w:color w:val="auto"/>
          <w:sz w:val="24"/>
          <w:szCs w:val="24"/>
          <w:highlight w:val="none"/>
        </w:rPr>
      </w:pPr>
      <w:r>
        <w:rPr>
          <w:rFonts w:hint="eastAsia" w:ascii="宋体" w:hAnsi="宋体" w:cs="宋体"/>
          <w:color w:val="auto"/>
          <w:sz w:val="24"/>
          <w:szCs w:val="24"/>
          <w:highlight w:val="none"/>
        </w:rPr>
        <w:t>B、接受联合体投标且投标人为联合体的，投标人应由“联合体牵头方”完成系统设定的具体操作流程（包括但不限于：招标文件获取、提交投标保证金、编制电子投标文件等）。</w:t>
      </w:r>
    </w:p>
    <w:p w14:paraId="6BE74D4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8、招标文件如有变更，</w:t>
      </w:r>
      <w:r>
        <w:rPr>
          <w:rFonts w:hint="eastAsia" w:ascii="宋体" w:hAnsi="宋体" w:eastAsia="宋体" w:cs="宋体"/>
          <w:b/>
          <w:color w:val="auto"/>
          <w:sz w:val="24"/>
          <w:szCs w:val="24"/>
          <w:highlight w:val="none"/>
          <w:u w:val="single"/>
        </w:rPr>
        <w:t>厦门万翔招标有限公司</w:t>
      </w:r>
      <w:r>
        <w:rPr>
          <w:rFonts w:hint="eastAsia" w:ascii="宋体" w:hAnsi="宋体" w:eastAsia="宋体" w:cs="宋体"/>
          <w:bCs/>
          <w:color w:val="auto"/>
          <w:sz w:val="24"/>
          <w:szCs w:val="24"/>
          <w:highlight w:val="none"/>
        </w:rPr>
        <w:t>将通过福建省政府采购网</w:t>
      </w:r>
      <w:r>
        <w:rPr>
          <w:rFonts w:hint="eastAsia" w:ascii="宋体" w:hAnsi="宋体" w:cs="宋体"/>
          <w:bCs/>
          <w:color w:val="auto"/>
          <w:sz w:val="24"/>
          <w:szCs w:val="24"/>
          <w:highlight w:val="none"/>
          <w:lang w:eastAsia="zh-CN"/>
        </w:rPr>
        <w:t>、</w:t>
      </w:r>
      <w:r>
        <w:rPr>
          <w:rFonts w:hint="eastAsia" w:ascii="宋体" w:hAnsi="宋体" w:eastAsia="宋体" w:cs="宋体"/>
          <w:bCs/>
          <w:color w:val="auto"/>
          <w:sz w:val="24"/>
          <w:szCs w:val="24"/>
          <w:highlight w:val="none"/>
        </w:rPr>
        <w:t>厦门招投标网等媒体发布通知信息，请投标人关注。</w:t>
      </w:r>
      <w:r>
        <w:rPr>
          <w:rFonts w:hint="eastAsia" w:ascii="宋体" w:hAnsi="宋体" w:eastAsia="宋体" w:cs="宋体"/>
          <w:color w:val="auto"/>
          <w:sz w:val="24"/>
          <w:szCs w:val="24"/>
          <w:highlight w:val="none"/>
        </w:rPr>
        <w:t>（请投标人在网上下载招标文件时，必须提供准确的电子邮箱、传真以及联系方式，电子网络系统将会自动发送相关信息，投标人收到相关信息后请回复确认）。</w:t>
      </w:r>
    </w:p>
    <w:p w14:paraId="3C262E0C">
      <w:pPr>
        <w:spacing w:line="360" w:lineRule="auto"/>
        <w:ind w:firstLine="361" w:firstLineChars="15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9、友情提醒：本项目全程采用网上招、投标方式进行采购，请各投标人必须按照有关规定要求在网上注册、</w:t>
      </w:r>
      <w:r>
        <w:rPr>
          <w:rStyle w:val="13"/>
          <w:rFonts w:ascii="Helvetica" w:hAnsi="Helvetica" w:eastAsia="Helvetica" w:cs="Helvetica"/>
          <w:color w:val="auto"/>
          <w:sz w:val="24"/>
          <w:szCs w:val="24"/>
          <w:highlight w:val="none"/>
          <w:shd w:val="clear" w:color="auto" w:fill="FFFFFF"/>
        </w:rPr>
        <w:t>需办理数字证书</w:t>
      </w:r>
      <w:r>
        <w:rPr>
          <w:rStyle w:val="13"/>
          <w:rFonts w:hint="eastAsia" w:ascii="Helvetica" w:hAnsi="Helvetica" w:cs="Helvetica"/>
          <w:color w:val="auto"/>
          <w:sz w:val="24"/>
          <w:szCs w:val="24"/>
          <w:highlight w:val="none"/>
          <w:shd w:val="clear" w:color="auto" w:fill="FFFFFF"/>
        </w:rPr>
        <w:t>、</w:t>
      </w:r>
      <w:r>
        <w:rPr>
          <w:rFonts w:hint="eastAsia" w:ascii="宋体" w:hAnsi="宋体" w:eastAsia="宋体" w:cs="宋体"/>
          <w:b/>
          <w:color w:val="auto"/>
          <w:sz w:val="24"/>
          <w:szCs w:val="24"/>
          <w:highlight w:val="none"/>
        </w:rPr>
        <w:t>购买招标文件和递交投标文件。</w:t>
      </w:r>
    </w:p>
    <w:p w14:paraId="077AFA89">
      <w:pPr>
        <w:spacing w:line="360" w:lineRule="auto"/>
        <w:ind w:firstLine="360" w:firstLineChars="1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10、投标人对本次招标活动事项提出疑问的，请在投标截止时间十五日之前，登录厦门招投标网与招标代理机构联系。来函请加盖单位公章，并提供联系人、联系电话及传真号码。</w:t>
      </w:r>
    </w:p>
    <w:p w14:paraId="742668F2">
      <w:pPr>
        <w:tabs>
          <w:tab w:val="left" w:pos="1140"/>
        </w:tabs>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11、各有关联系方式</w:t>
      </w:r>
    </w:p>
    <w:tbl>
      <w:tblPr>
        <w:tblStyle w:val="11"/>
        <w:tblW w:w="940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4"/>
        <w:gridCol w:w="1546"/>
        <w:gridCol w:w="1115"/>
        <w:gridCol w:w="3035"/>
        <w:gridCol w:w="2790"/>
      </w:tblGrid>
      <w:tr w14:paraId="045587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14" w:type="dxa"/>
            <w:noWrap w:val="0"/>
            <w:vAlign w:val="center"/>
          </w:tcPr>
          <w:p w14:paraId="0B2A1AF5">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序号</w:t>
            </w:r>
          </w:p>
        </w:tc>
        <w:tc>
          <w:tcPr>
            <w:tcW w:w="1546" w:type="dxa"/>
            <w:noWrap w:val="0"/>
            <w:vAlign w:val="center"/>
          </w:tcPr>
          <w:p w14:paraId="3CAFAA1D">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分工</w:t>
            </w:r>
          </w:p>
        </w:tc>
        <w:tc>
          <w:tcPr>
            <w:tcW w:w="1115" w:type="dxa"/>
            <w:noWrap w:val="0"/>
            <w:vAlign w:val="center"/>
          </w:tcPr>
          <w:p w14:paraId="63DA1313">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联系人</w:t>
            </w:r>
          </w:p>
        </w:tc>
        <w:tc>
          <w:tcPr>
            <w:tcW w:w="3035" w:type="dxa"/>
            <w:noWrap w:val="0"/>
            <w:vAlign w:val="center"/>
          </w:tcPr>
          <w:p w14:paraId="697DCFA3">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职责范围</w:t>
            </w:r>
          </w:p>
        </w:tc>
        <w:tc>
          <w:tcPr>
            <w:tcW w:w="2790" w:type="dxa"/>
            <w:noWrap w:val="0"/>
            <w:vAlign w:val="center"/>
          </w:tcPr>
          <w:p w14:paraId="668ED1C2">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联系电话</w:t>
            </w:r>
          </w:p>
        </w:tc>
      </w:tr>
      <w:tr w14:paraId="653736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2C65CE1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546" w:type="dxa"/>
            <w:noWrap w:val="0"/>
            <w:vAlign w:val="center"/>
          </w:tcPr>
          <w:p w14:paraId="7CC6051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项目经办</w:t>
            </w:r>
          </w:p>
        </w:tc>
        <w:tc>
          <w:tcPr>
            <w:tcW w:w="1115" w:type="dxa"/>
            <w:noWrap w:val="0"/>
            <w:vAlign w:val="center"/>
          </w:tcPr>
          <w:p w14:paraId="7C6A75F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卢小姐、熊小姐</w:t>
            </w:r>
          </w:p>
        </w:tc>
        <w:tc>
          <w:tcPr>
            <w:tcW w:w="3035" w:type="dxa"/>
            <w:noWrap w:val="0"/>
            <w:vAlign w:val="center"/>
          </w:tcPr>
          <w:p w14:paraId="199CBA5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负责招标文件的咨询、答疑等工作</w:t>
            </w:r>
          </w:p>
        </w:tc>
        <w:tc>
          <w:tcPr>
            <w:tcW w:w="2790" w:type="dxa"/>
            <w:noWrap w:val="0"/>
            <w:vAlign w:val="center"/>
          </w:tcPr>
          <w:p w14:paraId="702ADAE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0592-5701518、5769394</w:t>
            </w:r>
          </w:p>
          <w:p w14:paraId="1ADD2FB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传真0592-5706660-6969</w:t>
            </w:r>
          </w:p>
        </w:tc>
      </w:tr>
      <w:tr w14:paraId="2F6410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2C38A9E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546" w:type="dxa"/>
            <w:noWrap w:val="0"/>
            <w:vAlign w:val="center"/>
          </w:tcPr>
          <w:p w14:paraId="03B1691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p>
        </w:tc>
        <w:tc>
          <w:tcPr>
            <w:tcW w:w="1115" w:type="dxa"/>
            <w:noWrap w:val="0"/>
            <w:vAlign w:val="center"/>
          </w:tcPr>
          <w:p w14:paraId="4706232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w:t>
            </w:r>
            <w:r>
              <w:rPr>
                <w:rFonts w:hint="eastAsia" w:ascii="宋体" w:hAnsi="宋体" w:eastAsia="宋体" w:cs="宋体"/>
                <w:color w:val="auto"/>
                <w:sz w:val="24"/>
                <w:szCs w:val="24"/>
                <w:highlight w:val="none"/>
              </w:rPr>
              <w:t>小姐</w:t>
            </w:r>
          </w:p>
        </w:tc>
        <w:tc>
          <w:tcPr>
            <w:tcW w:w="3035" w:type="dxa"/>
            <w:noWrap w:val="0"/>
            <w:vAlign w:val="center"/>
          </w:tcPr>
          <w:p w14:paraId="38EDD2F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投标保证金收、退</w:t>
            </w:r>
          </w:p>
        </w:tc>
        <w:tc>
          <w:tcPr>
            <w:tcW w:w="2790" w:type="dxa"/>
            <w:noWrap w:val="0"/>
            <w:vAlign w:val="center"/>
          </w:tcPr>
          <w:p w14:paraId="6B3348B1">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0592-5703367</w:t>
            </w:r>
          </w:p>
        </w:tc>
      </w:tr>
      <w:tr w14:paraId="355ADC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72E9FFD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3</w:t>
            </w:r>
          </w:p>
        </w:tc>
        <w:tc>
          <w:tcPr>
            <w:tcW w:w="1546" w:type="dxa"/>
            <w:noWrap w:val="0"/>
            <w:vAlign w:val="center"/>
          </w:tcPr>
          <w:p w14:paraId="2029FCE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代理服务费</w:t>
            </w:r>
          </w:p>
        </w:tc>
        <w:tc>
          <w:tcPr>
            <w:tcW w:w="1115" w:type="dxa"/>
            <w:noWrap w:val="0"/>
            <w:vAlign w:val="center"/>
          </w:tcPr>
          <w:p w14:paraId="245534A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陈小姐</w:t>
            </w:r>
          </w:p>
        </w:tc>
        <w:tc>
          <w:tcPr>
            <w:tcW w:w="3035" w:type="dxa"/>
            <w:noWrap w:val="0"/>
            <w:vAlign w:val="center"/>
          </w:tcPr>
          <w:p w14:paraId="48F61FB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收取</w:t>
            </w:r>
          </w:p>
        </w:tc>
        <w:tc>
          <w:tcPr>
            <w:tcW w:w="2790" w:type="dxa"/>
            <w:noWrap w:val="0"/>
            <w:vAlign w:val="center"/>
          </w:tcPr>
          <w:p w14:paraId="277B3122">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w:t>
            </w: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rPr>
              <w:t>5703367</w:t>
            </w:r>
          </w:p>
        </w:tc>
      </w:tr>
      <w:tr w14:paraId="5CA0576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55E83FF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1546" w:type="dxa"/>
            <w:noWrap w:val="0"/>
            <w:vAlign w:val="center"/>
          </w:tcPr>
          <w:p w14:paraId="74793A7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w:t>
            </w:r>
          </w:p>
        </w:tc>
        <w:tc>
          <w:tcPr>
            <w:tcW w:w="1115" w:type="dxa"/>
            <w:noWrap w:val="0"/>
            <w:vAlign w:val="center"/>
          </w:tcPr>
          <w:p w14:paraId="3F0CD79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黄经理</w:t>
            </w:r>
          </w:p>
        </w:tc>
        <w:tc>
          <w:tcPr>
            <w:tcW w:w="3035" w:type="dxa"/>
            <w:noWrap w:val="0"/>
            <w:vAlign w:val="center"/>
          </w:tcPr>
          <w:p w14:paraId="448DFF3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欢迎投标人对项目采购过程中公告发布、招标文件购买、投标保证金缴交和退还、</w:t>
            </w: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收取、中标通知书发放等环节的服务进行监督。我们将竭诚为您提供最优质的服务。</w:t>
            </w:r>
          </w:p>
        </w:tc>
        <w:tc>
          <w:tcPr>
            <w:tcW w:w="2790" w:type="dxa"/>
            <w:noWrap w:val="0"/>
            <w:vAlign w:val="center"/>
          </w:tcPr>
          <w:p w14:paraId="6489C352">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0592-5705656</w:t>
            </w:r>
          </w:p>
        </w:tc>
      </w:tr>
      <w:tr w14:paraId="6B374B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31D3F82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1546" w:type="dxa"/>
            <w:noWrap w:val="0"/>
            <w:vAlign w:val="center"/>
          </w:tcPr>
          <w:p w14:paraId="16D769C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接收质疑</w:t>
            </w:r>
          </w:p>
        </w:tc>
        <w:tc>
          <w:tcPr>
            <w:tcW w:w="1115" w:type="dxa"/>
            <w:noWrap w:val="0"/>
            <w:vAlign w:val="center"/>
          </w:tcPr>
          <w:p w14:paraId="6DD105E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刘经理</w:t>
            </w:r>
          </w:p>
        </w:tc>
        <w:tc>
          <w:tcPr>
            <w:tcW w:w="3035" w:type="dxa"/>
            <w:noWrap w:val="0"/>
            <w:vAlign w:val="center"/>
          </w:tcPr>
          <w:p w14:paraId="1B1A4EF1">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rPr>
              <w:t>负责接收质疑</w:t>
            </w:r>
          </w:p>
        </w:tc>
        <w:tc>
          <w:tcPr>
            <w:tcW w:w="2790" w:type="dxa"/>
            <w:noWrap w:val="0"/>
            <w:vAlign w:val="center"/>
          </w:tcPr>
          <w:p w14:paraId="3D33410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电话0592-2218761</w:t>
            </w:r>
          </w:p>
          <w:p w14:paraId="2B3290F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传真0592-5706660-6969</w:t>
            </w:r>
          </w:p>
          <w:p w14:paraId="0AC7B6A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"mailto:邮箱hcq@iport.com.cn"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邮箱lmf@iport.com.cn</w:t>
            </w:r>
            <w:r>
              <w:rPr>
                <w:rFonts w:hint="eastAsia" w:ascii="宋体" w:hAnsi="宋体" w:eastAsia="宋体" w:cs="宋体"/>
                <w:color w:val="auto"/>
                <w:sz w:val="24"/>
                <w:szCs w:val="24"/>
                <w:highlight w:val="none"/>
              </w:rPr>
              <w:fldChar w:fldCharType="end"/>
            </w:r>
          </w:p>
          <w:p w14:paraId="25698551">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通讯地址：厦门市湖里区机场北路476号4楼</w:t>
            </w:r>
          </w:p>
        </w:tc>
      </w:tr>
    </w:tbl>
    <w:p w14:paraId="3DCC5D96">
      <w:pP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12、投标保证金及</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缴交账户：</w:t>
      </w:r>
    </w:p>
    <w:tbl>
      <w:tblPr>
        <w:tblStyle w:val="11"/>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6"/>
        <w:gridCol w:w="3240"/>
        <w:gridCol w:w="3479"/>
      </w:tblGrid>
      <w:tr w14:paraId="3A4269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470" w:hRule="atLeast"/>
          <w:jc w:val="center"/>
        </w:trPr>
        <w:tc>
          <w:tcPr>
            <w:tcW w:w="1326" w:type="dxa"/>
            <w:noWrap w:val="0"/>
            <w:vAlign w:val="center"/>
          </w:tcPr>
          <w:p w14:paraId="3126DB02">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类   别</w:t>
            </w:r>
          </w:p>
        </w:tc>
        <w:tc>
          <w:tcPr>
            <w:tcW w:w="3240" w:type="dxa"/>
            <w:noWrap w:val="0"/>
            <w:vAlign w:val="center"/>
          </w:tcPr>
          <w:p w14:paraId="284618B2">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投标保证金缴交账户</w:t>
            </w:r>
          </w:p>
        </w:tc>
        <w:tc>
          <w:tcPr>
            <w:tcW w:w="3479" w:type="dxa"/>
            <w:noWrap w:val="0"/>
            <w:vAlign w:val="center"/>
          </w:tcPr>
          <w:p w14:paraId="33C8B618">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缴交账户</w:t>
            </w:r>
          </w:p>
        </w:tc>
      </w:tr>
      <w:tr w14:paraId="776ACE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326" w:type="dxa"/>
            <w:noWrap w:val="0"/>
            <w:vAlign w:val="center"/>
          </w:tcPr>
          <w:p w14:paraId="19E376E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 户 行</w:t>
            </w:r>
          </w:p>
        </w:tc>
        <w:tc>
          <w:tcPr>
            <w:tcW w:w="3240" w:type="dxa"/>
            <w:noWrap w:val="0"/>
            <w:vAlign w:val="center"/>
          </w:tcPr>
          <w:p w14:paraId="58445091">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w:t>
            </w:r>
          </w:p>
        </w:tc>
        <w:tc>
          <w:tcPr>
            <w:tcW w:w="3479" w:type="dxa"/>
            <w:noWrap w:val="0"/>
            <w:vAlign w:val="center"/>
          </w:tcPr>
          <w:p w14:paraId="2E9DFD4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r>
      <w:tr w14:paraId="4B4B6B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4062879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p>
        </w:tc>
        <w:tc>
          <w:tcPr>
            <w:tcW w:w="3240" w:type="dxa"/>
            <w:noWrap w:val="0"/>
            <w:vAlign w:val="center"/>
          </w:tcPr>
          <w:p w14:paraId="3AFCBE52">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w:t>
            </w:r>
          </w:p>
        </w:tc>
        <w:tc>
          <w:tcPr>
            <w:tcW w:w="3479" w:type="dxa"/>
            <w:noWrap w:val="0"/>
            <w:vAlign w:val="center"/>
          </w:tcPr>
          <w:p w14:paraId="47B08AF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35101570201052504219</w:t>
            </w:r>
          </w:p>
        </w:tc>
      </w:tr>
      <w:tr w14:paraId="79EC06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6418B80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tc>
        <w:tc>
          <w:tcPr>
            <w:tcW w:w="6719" w:type="dxa"/>
            <w:gridSpan w:val="2"/>
            <w:noWrap w:val="0"/>
            <w:vAlign w:val="center"/>
          </w:tcPr>
          <w:p w14:paraId="7D1AA28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厦门万翔招标有限公司</w:t>
            </w:r>
          </w:p>
        </w:tc>
      </w:tr>
    </w:tbl>
    <w:p w14:paraId="7CAB61D0">
      <w:pPr>
        <w:tabs>
          <w:tab w:val="left" w:pos="1140"/>
        </w:tabs>
        <w:spacing w:line="360" w:lineRule="auto"/>
        <w:ind w:firstLine="480" w:firstLineChars="200"/>
        <w:rPr>
          <w:rFonts w:hint="eastAsia" w:ascii="宋体" w:hAnsi="宋体" w:eastAsia="宋体" w:cs="宋体"/>
          <w:color w:val="auto"/>
          <w:sz w:val="24"/>
          <w:szCs w:val="24"/>
          <w:highlight w:val="none"/>
        </w:rPr>
      </w:pPr>
    </w:p>
    <w:p w14:paraId="325C647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注：投标人须将相关的费用缴交至上表对应的账号，缴错账号而产生的一切后果由投标人自行承担。</w:t>
      </w:r>
    </w:p>
    <w:p w14:paraId="05C8963D">
      <w:pPr>
        <w:numPr>
          <w:ilvl w:val="-1"/>
          <w:numId w:val="0"/>
        </w:numPr>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13、注意事项：</w:t>
      </w:r>
    </w:p>
    <w:p w14:paraId="63719864">
      <w:pPr>
        <w:keepNext w:val="0"/>
        <w:keepLines w:val="0"/>
        <w:pageBreakBefore w:val="0"/>
        <w:widowControl/>
        <w:numPr>
          <w:ilvl w:val="0"/>
          <w:numId w:val="0"/>
        </w:numPr>
        <w:tabs>
          <w:tab w:val="left" w:pos="-1080"/>
          <w:tab w:val="left" w:pos="180"/>
          <w:tab w:val="left" w:pos="10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项目中标供应商服务费发票将以邮件方式发送至购标指定邮箱。</w:t>
      </w:r>
    </w:p>
    <w:p w14:paraId="2FCB353B">
      <w:pPr>
        <w:numPr>
          <w:ilvl w:val="-1"/>
          <w:numId w:val="0"/>
        </w:numPr>
        <w:spacing w:line="360" w:lineRule="auto"/>
        <w:ind w:firstLine="0" w:firstLineChars="0"/>
        <w:rPr>
          <w:rFonts w:hint="default" w:ascii="宋体" w:hAnsi="宋体" w:cs="宋体"/>
          <w:color w:val="auto"/>
          <w:sz w:val="24"/>
          <w:szCs w:val="24"/>
          <w:highlight w:val="none"/>
          <w:lang w:val="en-US" w:eastAsia="zh-CN"/>
        </w:rPr>
      </w:pPr>
    </w:p>
    <w:p w14:paraId="5057A6E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招标代理机构：厦门万翔招标有限公司 </w:t>
      </w:r>
    </w:p>
    <w:p w14:paraId="4E0FC1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址：厦门市湖里区机场北路476号四楼 </w:t>
      </w:r>
    </w:p>
    <w:p w14:paraId="2E02E49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 361006</w:t>
      </w:r>
    </w:p>
    <w:p w14:paraId="35B8A63B">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合同款项事宜联系人：陈志鹏</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0592</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5706825</w:t>
      </w:r>
    </w:p>
    <w:p w14:paraId="30CBBED8">
      <w:pPr>
        <w:tabs>
          <w:tab w:val="left" w:pos="2775"/>
        </w:tabs>
        <w:spacing w:line="360" w:lineRule="auto"/>
        <w:ind w:firstLine="480"/>
        <w:rPr>
          <w:rFonts w:hint="eastAsia" w:ascii="宋体" w:hAnsi="宋体" w:eastAsia="宋体" w:cs="宋体"/>
          <w:color w:val="auto"/>
          <w:sz w:val="24"/>
          <w:szCs w:val="24"/>
          <w:highlight w:val="none"/>
        </w:rPr>
      </w:pPr>
    </w:p>
    <w:p w14:paraId="033D653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6CBA5E08">
      <w:pPr>
        <w:spacing w:line="360" w:lineRule="auto"/>
        <w:rPr>
          <w:rFonts w:hint="eastAsia" w:ascii="宋体" w:hAnsi="宋体" w:eastAsia="宋体" w:cs="宋体"/>
          <w:color w:val="auto"/>
          <w:sz w:val="24"/>
          <w:szCs w:val="24"/>
          <w:highlight w:val="none"/>
        </w:rPr>
      </w:pPr>
    </w:p>
    <w:p w14:paraId="1C414501">
      <w:pPr>
        <w:spacing w:line="360" w:lineRule="auto"/>
        <w:rPr>
          <w:rFonts w:hint="eastAsia" w:ascii="宋体" w:hAnsi="宋体" w:eastAsia="宋体" w:cs="宋体"/>
          <w:color w:val="auto"/>
          <w:sz w:val="24"/>
          <w:szCs w:val="24"/>
          <w:highlight w:val="none"/>
        </w:rPr>
      </w:pPr>
    </w:p>
    <w:p w14:paraId="68A37107">
      <w:pPr>
        <w:spacing w:line="360" w:lineRule="auto"/>
        <w:rPr>
          <w:rFonts w:hint="eastAsia" w:ascii="宋体" w:hAnsi="宋体" w:eastAsia="宋体" w:cs="宋体"/>
          <w:color w:val="auto"/>
          <w:sz w:val="24"/>
          <w:szCs w:val="24"/>
          <w:highlight w:val="none"/>
        </w:rPr>
      </w:pPr>
    </w:p>
    <w:p w14:paraId="308C839F">
      <w:pPr>
        <w:spacing w:line="360" w:lineRule="auto"/>
        <w:rPr>
          <w:rFonts w:hint="eastAsia" w:ascii="宋体" w:hAnsi="宋体" w:eastAsia="宋体" w:cs="宋体"/>
          <w:color w:val="auto"/>
          <w:sz w:val="24"/>
          <w:szCs w:val="24"/>
          <w:highlight w:val="none"/>
        </w:rPr>
      </w:pPr>
    </w:p>
    <w:p w14:paraId="650330F9">
      <w:pPr>
        <w:spacing w:line="360" w:lineRule="auto"/>
        <w:rPr>
          <w:rFonts w:hint="eastAsia" w:ascii="宋体" w:hAnsi="宋体" w:eastAsia="宋体" w:cs="宋体"/>
          <w:color w:val="auto"/>
          <w:sz w:val="24"/>
          <w:szCs w:val="24"/>
          <w:highlight w:val="none"/>
        </w:rPr>
      </w:pPr>
    </w:p>
    <w:p w14:paraId="772DE28F">
      <w:pPr>
        <w:spacing w:line="360" w:lineRule="auto"/>
        <w:rPr>
          <w:rFonts w:hint="eastAsia" w:ascii="宋体" w:hAnsi="宋体" w:eastAsia="宋体" w:cs="宋体"/>
          <w:color w:val="auto"/>
          <w:sz w:val="24"/>
          <w:szCs w:val="24"/>
          <w:highlight w:val="none"/>
        </w:rPr>
      </w:pPr>
    </w:p>
    <w:p w14:paraId="4380F330">
      <w:pPr>
        <w:spacing w:line="360" w:lineRule="auto"/>
        <w:rPr>
          <w:rFonts w:hint="eastAsia" w:ascii="宋体" w:hAnsi="宋体" w:eastAsia="宋体" w:cs="宋体"/>
          <w:color w:val="auto"/>
          <w:sz w:val="24"/>
          <w:szCs w:val="24"/>
          <w:highlight w:val="none"/>
        </w:rPr>
      </w:pPr>
    </w:p>
    <w:p w14:paraId="46410033">
      <w:pPr>
        <w:spacing w:line="360" w:lineRule="auto"/>
        <w:rPr>
          <w:rFonts w:hint="eastAsia" w:ascii="宋体" w:hAnsi="宋体" w:eastAsia="宋体" w:cs="宋体"/>
          <w:color w:val="auto"/>
          <w:sz w:val="24"/>
          <w:szCs w:val="24"/>
          <w:highlight w:val="none"/>
        </w:rPr>
      </w:pPr>
    </w:p>
    <w:p w14:paraId="7103BBAF">
      <w:pPr>
        <w:spacing w:line="360" w:lineRule="auto"/>
        <w:rPr>
          <w:rFonts w:hint="eastAsia" w:ascii="宋体" w:hAnsi="宋体" w:eastAsia="宋体" w:cs="宋体"/>
          <w:color w:val="auto"/>
          <w:sz w:val="24"/>
          <w:szCs w:val="24"/>
          <w:highlight w:val="none"/>
        </w:rPr>
      </w:pPr>
    </w:p>
    <w:p w14:paraId="7AA86541">
      <w:pPr>
        <w:spacing w:line="360" w:lineRule="auto"/>
        <w:rPr>
          <w:rFonts w:hint="eastAsia" w:ascii="宋体" w:hAnsi="宋体" w:eastAsia="宋体" w:cs="宋体"/>
          <w:color w:val="auto"/>
          <w:sz w:val="24"/>
          <w:szCs w:val="24"/>
          <w:highlight w:val="none"/>
        </w:rPr>
      </w:pPr>
    </w:p>
    <w:p w14:paraId="5C3AC70B">
      <w:pPr>
        <w:spacing w:line="360" w:lineRule="auto"/>
        <w:rPr>
          <w:rFonts w:hint="eastAsia" w:ascii="宋体" w:hAnsi="宋体" w:eastAsia="宋体" w:cs="宋体"/>
          <w:color w:val="auto"/>
          <w:sz w:val="24"/>
          <w:szCs w:val="24"/>
          <w:highlight w:val="none"/>
        </w:rPr>
      </w:pPr>
    </w:p>
    <w:p w14:paraId="513E14EB">
      <w:pPr>
        <w:spacing w:line="360" w:lineRule="auto"/>
        <w:rPr>
          <w:rFonts w:hint="eastAsia" w:ascii="宋体" w:hAnsi="宋体" w:eastAsia="宋体" w:cs="宋体"/>
          <w:color w:val="auto"/>
          <w:sz w:val="24"/>
          <w:szCs w:val="24"/>
          <w:highlight w:val="none"/>
        </w:rPr>
      </w:pPr>
    </w:p>
    <w:p w14:paraId="07C09B4F">
      <w:pPr>
        <w:spacing w:line="360" w:lineRule="auto"/>
        <w:rPr>
          <w:rFonts w:hint="eastAsia" w:ascii="宋体" w:hAnsi="宋体" w:eastAsia="宋体" w:cs="宋体"/>
          <w:color w:val="auto"/>
          <w:sz w:val="24"/>
          <w:szCs w:val="24"/>
          <w:highlight w:val="none"/>
        </w:rPr>
      </w:pPr>
    </w:p>
    <w:p w14:paraId="4F7C6CE2">
      <w:pPr>
        <w:spacing w:line="360" w:lineRule="auto"/>
        <w:rPr>
          <w:rFonts w:hint="eastAsia" w:ascii="宋体" w:hAnsi="宋体" w:eastAsia="宋体" w:cs="宋体"/>
          <w:color w:val="auto"/>
          <w:sz w:val="32"/>
          <w:szCs w:val="32"/>
          <w:highlight w:val="none"/>
        </w:rPr>
      </w:pPr>
    </w:p>
    <w:p w14:paraId="6EADB4C3">
      <w:pPr>
        <w:spacing w:line="360" w:lineRule="auto"/>
        <w:rPr>
          <w:rFonts w:hint="eastAsia" w:ascii="宋体" w:hAnsi="宋体" w:eastAsia="宋体" w:cs="宋体"/>
          <w:color w:val="auto"/>
          <w:sz w:val="32"/>
          <w:szCs w:val="32"/>
          <w:highlight w:val="none"/>
        </w:rPr>
      </w:pPr>
    </w:p>
    <w:p w14:paraId="796F868F">
      <w:pPr>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附：招标货物(服务)一览表</w:t>
      </w:r>
    </w:p>
    <w:p w14:paraId="333F504E">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招标货物（服务）一览表</w:t>
      </w:r>
    </w:p>
    <w:tbl>
      <w:tblPr>
        <w:tblStyle w:val="11"/>
        <w:tblW w:w="0" w:type="auto"/>
        <w:tblInd w:w="-7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952"/>
        <w:gridCol w:w="1716"/>
        <w:gridCol w:w="900"/>
        <w:gridCol w:w="1815"/>
        <w:gridCol w:w="1332"/>
        <w:gridCol w:w="1580"/>
      </w:tblGrid>
      <w:tr w14:paraId="6DF67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noWrap w:val="0"/>
            <w:vAlign w:val="center"/>
          </w:tcPr>
          <w:p w14:paraId="41C43810">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合同包</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580E016C">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品目号</w:t>
            </w:r>
          </w:p>
        </w:tc>
        <w:tc>
          <w:tcPr>
            <w:tcW w:w="1716" w:type="dxa"/>
            <w:tcBorders>
              <w:top w:val="single" w:color="auto" w:sz="4" w:space="0"/>
              <w:left w:val="single" w:color="auto" w:sz="4" w:space="0"/>
              <w:bottom w:val="single" w:color="auto" w:sz="4" w:space="0"/>
              <w:right w:val="single" w:color="auto" w:sz="4" w:space="0"/>
            </w:tcBorders>
            <w:noWrap w:val="0"/>
            <w:vAlign w:val="center"/>
          </w:tcPr>
          <w:p w14:paraId="6B8208C5">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货物名称</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21943020">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数量</w:t>
            </w:r>
          </w:p>
        </w:tc>
        <w:tc>
          <w:tcPr>
            <w:tcW w:w="1815" w:type="dxa"/>
            <w:tcBorders>
              <w:top w:val="single" w:color="auto" w:sz="4" w:space="0"/>
              <w:left w:val="single" w:color="auto" w:sz="4" w:space="0"/>
              <w:bottom w:val="single" w:color="auto" w:sz="4" w:space="0"/>
              <w:right w:val="single" w:color="auto" w:sz="4" w:space="0"/>
            </w:tcBorders>
            <w:noWrap w:val="0"/>
            <w:vAlign w:val="center"/>
          </w:tcPr>
          <w:p w14:paraId="7865C36B">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主要技术规格</w:t>
            </w:r>
          </w:p>
        </w:tc>
        <w:tc>
          <w:tcPr>
            <w:tcW w:w="1332" w:type="dxa"/>
            <w:tcBorders>
              <w:top w:val="single" w:color="auto" w:sz="4" w:space="0"/>
              <w:left w:val="single" w:color="auto" w:sz="4" w:space="0"/>
              <w:bottom w:val="single" w:color="auto" w:sz="4" w:space="0"/>
              <w:right w:val="single" w:color="auto" w:sz="4" w:space="0"/>
            </w:tcBorders>
            <w:noWrap w:val="0"/>
            <w:vAlign w:val="center"/>
          </w:tcPr>
          <w:p w14:paraId="022E25A4">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交货地点</w:t>
            </w:r>
          </w:p>
        </w:tc>
        <w:tc>
          <w:tcPr>
            <w:tcW w:w="1580" w:type="dxa"/>
            <w:tcBorders>
              <w:top w:val="single" w:color="auto" w:sz="4" w:space="0"/>
              <w:left w:val="single" w:color="auto" w:sz="4" w:space="0"/>
              <w:bottom w:val="single" w:color="auto" w:sz="4" w:space="0"/>
              <w:right w:val="single" w:color="auto" w:sz="4" w:space="0"/>
            </w:tcBorders>
            <w:noWrap w:val="0"/>
            <w:vAlign w:val="center"/>
          </w:tcPr>
          <w:p w14:paraId="7FD2996B">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w:t>
            </w:r>
          </w:p>
        </w:tc>
      </w:tr>
      <w:tr w14:paraId="3B62A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noWrap w:val="0"/>
            <w:vAlign w:val="center"/>
          </w:tcPr>
          <w:p w14:paraId="77F6EED3">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XM</w:t>
            </w:r>
            <w:r>
              <w:rPr>
                <w:rFonts w:hint="eastAsia" w:ascii="宋体" w:hAnsi="宋体" w:eastAsia="宋体" w:cs="宋体"/>
                <w:b w:val="0"/>
                <w:bCs w:val="0"/>
                <w:color w:val="auto"/>
                <w:sz w:val="24"/>
                <w:szCs w:val="24"/>
                <w:highlight w:val="none"/>
                <w:lang w:eastAsia="zh-CN"/>
              </w:rPr>
              <w:t>2026</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u w:val="none"/>
              </w:rPr>
              <w:t>DZ</w:t>
            </w:r>
            <w:r>
              <w:rPr>
                <w:rFonts w:hint="eastAsia" w:ascii="宋体" w:hAnsi="宋体" w:eastAsia="宋体" w:cs="宋体"/>
                <w:b w:val="0"/>
                <w:bCs w:val="0"/>
                <w:color w:val="auto"/>
                <w:sz w:val="24"/>
                <w:szCs w:val="24"/>
                <w:highlight w:val="none"/>
                <w:u w:val="none"/>
                <w:lang w:val="en-US" w:eastAsia="zh-CN"/>
              </w:rPr>
              <w:t>0014</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15A814A9">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w:t>
            </w:r>
          </w:p>
        </w:tc>
        <w:tc>
          <w:tcPr>
            <w:tcW w:w="1716" w:type="dxa"/>
            <w:tcBorders>
              <w:top w:val="single" w:color="auto" w:sz="4" w:space="0"/>
              <w:left w:val="single" w:color="auto" w:sz="4" w:space="0"/>
              <w:bottom w:val="single" w:color="auto" w:sz="4" w:space="0"/>
              <w:right w:val="single" w:color="auto" w:sz="4" w:space="0"/>
            </w:tcBorders>
            <w:noWrap w:val="0"/>
            <w:vAlign w:val="center"/>
          </w:tcPr>
          <w:p w14:paraId="2C0AB9BA">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2026年福建省厦门集美中学后溪校区家具采购项目</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B7A611C">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1批</w:t>
            </w:r>
          </w:p>
        </w:tc>
        <w:tc>
          <w:tcPr>
            <w:tcW w:w="1815" w:type="dxa"/>
            <w:tcBorders>
              <w:top w:val="single" w:color="auto" w:sz="4" w:space="0"/>
              <w:left w:val="single" w:color="auto" w:sz="4" w:space="0"/>
              <w:bottom w:val="single" w:color="auto" w:sz="4" w:space="0"/>
              <w:right w:val="single" w:color="auto" w:sz="4" w:space="0"/>
            </w:tcBorders>
            <w:noWrap w:val="0"/>
            <w:vAlign w:val="center"/>
          </w:tcPr>
          <w:p w14:paraId="43EFD055">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详见招标内容及要求</w:t>
            </w:r>
          </w:p>
        </w:tc>
        <w:tc>
          <w:tcPr>
            <w:tcW w:w="1332" w:type="dxa"/>
            <w:tcBorders>
              <w:top w:val="single" w:color="auto" w:sz="4" w:space="0"/>
              <w:left w:val="single" w:color="auto" w:sz="4" w:space="0"/>
              <w:bottom w:val="single" w:color="auto" w:sz="4" w:space="0"/>
              <w:right w:val="single" w:color="auto" w:sz="4" w:space="0"/>
            </w:tcBorders>
            <w:noWrap w:val="0"/>
            <w:vAlign w:val="center"/>
          </w:tcPr>
          <w:p w14:paraId="162BBCA5">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使用单位指定地点</w:t>
            </w:r>
          </w:p>
        </w:tc>
        <w:tc>
          <w:tcPr>
            <w:tcW w:w="1580" w:type="dxa"/>
            <w:tcBorders>
              <w:top w:val="single" w:color="auto" w:sz="4" w:space="0"/>
              <w:left w:val="single" w:color="auto" w:sz="4" w:space="0"/>
              <w:bottom w:val="single" w:color="auto" w:sz="4" w:space="0"/>
              <w:right w:val="single" w:color="auto" w:sz="4" w:space="0"/>
            </w:tcBorders>
            <w:noWrap w:val="0"/>
            <w:vAlign w:val="center"/>
          </w:tcPr>
          <w:p w14:paraId="6418695C">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福建省厦门集美中学</w:t>
            </w:r>
          </w:p>
        </w:tc>
      </w:tr>
    </w:tbl>
    <w:p w14:paraId="55DB4E92">
      <w:pPr>
        <w:spacing w:line="360" w:lineRule="auto"/>
        <w:jc w:val="both"/>
        <w:rPr>
          <w:rFonts w:hint="eastAsia" w:ascii="宋体" w:hAnsi="宋体" w:eastAsia="宋体" w:cs="宋体"/>
          <w:b/>
          <w:color w:val="auto"/>
          <w:sz w:val="32"/>
          <w:szCs w:val="32"/>
          <w:highlight w:val="none"/>
        </w:rPr>
      </w:pPr>
    </w:p>
    <w:p w14:paraId="2FAC33A1">
      <w:pPr>
        <w:pStyle w:val="5"/>
        <w:tabs>
          <w:tab w:val="left" w:pos="8360"/>
        </w:tabs>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注：投标人可按合同包投标，对同一合同包内所有品目号内容投标时必须完整。评标与授标以合同包为单位。</w:t>
      </w:r>
    </w:p>
    <w:p w14:paraId="31E1B201">
      <w:pPr>
        <w:pStyle w:val="5"/>
        <w:tabs>
          <w:tab w:val="left" w:pos="8360"/>
        </w:tabs>
        <w:spacing w:line="360" w:lineRule="auto"/>
        <w:jc w:val="left"/>
        <w:rPr>
          <w:rFonts w:hint="eastAsia" w:ascii="宋体" w:hAnsi="宋体" w:eastAsia="宋体" w:cs="宋体"/>
          <w:color w:val="auto"/>
          <w:sz w:val="24"/>
          <w:szCs w:val="24"/>
          <w:highlight w:val="none"/>
        </w:rPr>
      </w:pPr>
    </w:p>
    <w:p w14:paraId="40170ACB">
      <w:pPr>
        <w:pStyle w:val="5"/>
        <w:tabs>
          <w:tab w:val="left" w:pos="8360"/>
        </w:tabs>
        <w:spacing w:line="360" w:lineRule="auto"/>
        <w:jc w:val="left"/>
        <w:rPr>
          <w:rFonts w:hint="eastAsia" w:ascii="宋体" w:hAnsi="宋体" w:eastAsia="宋体" w:cs="宋体"/>
          <w:color w:val="auto"/>
          <w:sz w:val="24"/>
          <w:szCs w:val="24"/>
          <w:highlight w:val="none"/>
        </w:rPr>
      </w:pPr>
    </w:p>
    <w:p w14:paraId="58834BD7">
      <w:pPr>
        <w:pStyle w:val="5"/>
        <w:tabs>
          <w:tab w:val="left" w:pos="8360"/>
        </w:tabs>
        <w:spacing w:line="360" w:lineRule="auto"/>
        <w:jc w:val="left"/>
        <w:rPr>
          <w:rFonts w:hint="eastAsia" w:ascii="宋体" w:hAnsi="宋体" w:eastAsia="宋体" w:cs="宋体"/>
          <w:color w:val="auto"/>
          <w:sz w:val="24"/>
          <w:szCs w:val="24"/>
          <w:highlight w:val="none"/>
        </w:rPr>
      </w:pPr>
    </w:p>
    <w:p w14:paraId="4B67D16E">
      <w:pPr>
        <w:pStyle w:val="5"/>
        <w:tabs>
          <w:tab w:val="left" w:pos="8360"/>
        </w:tabs>
        <w:spacing w:line="360" w:lineRule="auto"/>
        <w:jc w:val="left"/>
        <w:rPr>
          <w:rFonts w:hint="eastAsia" w:ascii="宋体" w:hAnsi="宋体" w:eastAsia="宋体" w:cs="宋体"/>
          <w:color w:val="auto"/>
          <w:sz w:val="24"/>
          <w:szCs w:val="24"/>
          <w:highlight w:val="none"/>
        </w:rPr>
      </w:pPr>
    </w:p>
    <w:p w14:paraId="5EE06874">
      <w:pPr>
        <w:pStyle w:val="5"/>
        <w:tabs>
          <w:tab w:val="left" w:pos="8360"/>
        </w:tabs>
        <w:spacing w:line="360" w:lineRule="auto"/>
        <w:jc w:val="left"/>
        <w:rPr>
          <w:rFonts w:hint="eastAsia" w:ascii="宋体" w:hAnsi="宋体" w:eastAsia="宋体" w:cs="宋体"/>
          <w:color w:val="auto"/>
          <w:sz w:val="24"/>
          <w:szCs w:val="24"/>
          <w:highlight w:val="none"/>
        </w:rPr>
      </w:pPr>
    </w:p>
    <w:p w14:paraId="0CE92E9F">
      <w:pPr>
        <w:pStyle w:val="5"/>
        <w:tabs>
          <w:tab w:val="left" w:pos="8360"/>
        </w:tabs>
        <w:spacing w:line="360" w:lineRule="auto"/>
        <w:jc w:val="left"/>
        <w:rPr>
          <w:rFonts w:hint="eastAsia" w:ascii="宋体" w:hAnsi="宋体" w:eastAsia="宋体" w:cs="宋体"/>
          <w:color w:val="auto"/>
          <w:sz w:val="24"/>
          <w:szCs w:val="24"/>
          <w:highlight w:val="none"/>
        </w:rPr>
      </w:pPr>
    </w:p>
    <w:p w14:paraId="762EF08B">
      <w:pPr>
        <w:pStyle w:val="5"/>
        <w:tabs>
          <w:tab w:val="left" w:pos="8360"/>
        </w:tabs>
        <w:spacing w:line="360" w:lineRule="auto"/>
        <w:jc w:val="left"/>
        <w:rPr>
          <w:rFonts w:hint="eastAsia" w:ascii="宋体" w:hAnsi="宋体" w:eastAsia="宋体" w:cs="宋体"/>
          <w:color w:val="auto"/>
          <w:sz w:val="24"/>
          <w:szCs w:val="24"/>
          <w:highlight w:val="none"/>
        </w:rPr>
      </w:pPr>
    </w:p>
    <w:p w14:paraId="5497DAE7">
      <w:pPr>
        <w:pStyle w:val="5"/>
        <w:tabs>
          <w:tab w:val="left" w:pos="8360"/>
        </w:tabs>
        <w:spacing w:line="360" w:lineRule="auto"/>
        <w:jc w:val="left"/>
        <w:rPr>
          <w:rFonts w:hint="eastAsia" w:ascii="宋体" w:hAnsi="宋体" w:eastAsia="宋体" w:cs="宋体"/>
          <w:color w:val="auto"/>
          <w:sz w:val="24"/>
          <w:szCs w:val="24"/>
          <w:highlight w:val="none"/>
        </w:rPr>
      </w:pPr>
    </w:p>
    <w:p w14:paraId="0CBAF80E">
      <w:pPr>
        <w:pStyle w:val="5"/>
        <w:tabs>
          <w:tab w:val="left" w:pos="8360"/>
        </w:tabs>
        <w:spacing w:line="360" w:lineRule="auto"/>
        <w:jc w:val="left"/>
        <w:rPr>
          <w:rFonts w:hint="eastAsia" w:ascii="宋体" w:hAnsi="宋体" w:eastAsia="宋体" w:cs="宋体"/>
          <w:color w:val="auto"/>
          <w:sz w:val="24"/>
          <w:szCs w:val="24"/>
          <w:highlight w:val="none"/>
        </w:rPr>
      </w:pPr>
    </w:p>
    <w:p w14:paraId="5D21A89E">
      <w:pPr>
        <w:pStyle w:val="5"/>
        <w:tabs>
          <w:tab w:val="left" w:pos="8360"/>
        </w:tabs>
        <w:spacing w:line="360" w:lineRule="auto"/>
        <w:jc w:val="left"/>
        <w:rPr>
          <w:rFonts w:hint="eastAsia" w:ascii="宋体" w:hAnsi="宋体" w:eastAsia="宋体" w:cs="宋体"/>
          <w:color w:val="auto"/>
          <w:sz w:val="24"/>
          <w:szCs w:val="24"/>
          <w:highlight w:val="none"/>
        </w:rPr>
      </w:pPr>
    </w:p>
    <w:p w14:paraId="3C0A0E4B">
      <w:pPr>
        <w:pStyle w:val="5"/>
        <w:tabs>
          <w:tab w:val="left" w:pos="8360"/>
        </w:tabs>
        <w:spacing w:line="360" w:lineRule="auto"/>
        <w:jc w:val="left"/>
        <w:rPr>
          <w:rFonts w:hint="eastAsia" w:ascii="宋体" w:hAnsi="宋体" w:eastAsia="宋体" w:cs="宋体"/>
          <w:color w:val="auto"/>
          <w:sz w:val="24"/>
          <w:szCs w:val="24"/>
          <w:highlight w:val="none"/>
        </w:rPr>
      </w:pPr>
    </w:p>
    <w:p w14:paraId="1C7CACA9">
      <w:pPr>
        <w:pStyle w:val="5"/>
        <w:tabs>
          <w:tab w:val="left" w:pos="8360"/>
        </w:tabs>
        <w:spacing w:line="360" w:lineRule="auto"/>
        <w:jc w:val="left"/>
        <w:rPr>
          <w:rFonts w:hint="eastAsia" w:ascii="宋体" w:hAnsi="宋体" w:eastAsia="宋体" w:cs="宋体"/>
          <w:color w:val="auto"/>
          <w:sz w:val="24"/>
          <w:szCs w:val="24"/>
          <w:highlight w:val="none"/>
        </w:rPr>
      </w:pPr>
    </w:p>
    <w:p w14:paraId="6EB41215">
      <w:pPr>
        <w:pStyle w:val="5"/>
        <w:tabs>
          <w:tab w:val="left" w:pos="8360"/>
        </w:tabs>
        <w:spacing w:line="360" w:lineRule="auto"/>
        <w:jc w:val="left"/>
        <w:rPr>
          <w:rFonts w:hint="eastAsia" w:ascii="宋体" w:hAnsi="宋体" w:eastAsia="宋体" w:cs="宋体"/>
          <w:color w:val="auto"/>
          <w:sz w:val="24"/>
          <w:szCs w:val="24"/>
          <w:highlight w:val="none"/>
        </w:rPr>
      </w:pPr>
    </w:p>
    <w:p w14:paraId="54FB4145">
      <w:pPr>
        <w:pStyle w:val="2"/>
        <w:spacing w:line="360" w:lineRule="auto"/>
        <w:ind w:firstLine="0"/>
        <w:rPr>
          <w:rFonts w:hint="eastAsia" w:ascii="宋体" w:hAnsi="宋体" w:eastAsia="宋体" w:cs="宋体"/>
          <w:b/>
          <w:color w:val="auto"/>
          <w:sz w:val="24"/>
          <w:szCs w:val="24"/>
          <w:highlight w:val="none"/>
        </w:rPr>
        <w:sectPr>
          <w:footerReference r:id="rId6" w:type="default"/>
          <w:pgSz w:w="11906" w:h="16838"/>
          <w:pgMar w:top="1440" w:right="1106" w:bottom="1290" w:left="1800" w:header="851" w:footer="992" w:gutter="0"/>
          <w:pgNumType w:start="1"/>
          <w:cols w:space="720" w:num="1"/>
          <w:docGrid w:type="lines" w:linePitch="312" w:charSpace="0"/>
        </w:sectPr>
      </w:pPr>
    </w:p>
    <w:p w14:paraId="73AAC5FF">
      <w:pPr>
        <w:pStyle w:val="15"/>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第二章  投标人须知</w:t>
      </w:r>
    </w:p>
    <w:p w14:paraId="5F9AE550">
      <w:pPr>
        <w:pStyle w:val="15"/>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投标人须知前附表1</w:t>
      </w:r>
    </w:p>
    <w:p w14:paraId="0DC70707">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本须知前附表1的条款号是与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1"/>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80"/>
      </w:tblGrid>
      <w:tr w14:paraId="3078B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top"/>
          </w:tcPr>
          <w:p w14:paraId="747B108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1080" w:type="dxa"/>
            <w:noWrap w:val="0"/>
            <w:vAlign w:val="top"/>
          </w:tcPr>
          <w:p w14:paraId="689E3B4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7380" w:type="dxa"/>
            <w:noWrap w:val="0"/>
            <w:vAlign w:val="top"/>
          </w:tcPr>
          <w:p w14:paraId="0AEFA5C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   列   内    容</w:t>
            </w:r>
          </w:p>
        </w:tc>
      </w:tr>
      <w:tr w14:paraId="516F5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center"/>
          </w:tcPr>
          <w:p w14:paraId="495C70F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080" w:type="dxa"/>
            <w:noWrap w:val="0"/>
            <w:vAlign w:val="center"/>
          </w:tcPr>
          <w:p w14:paraId="0F5CFE7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7380" w:type="dxa"/>
            <w:noWrap w:val="0"/>
            <w:vAlign w:val="center"/>
          </w:tcPr>
          <w:p w14:paraId="49B406CE">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w:t>
            </w:r>
            <w:r>
              <w:rPr>
                <w:rFonts w:hint="eastAsia" w:ascii="宋体" w:hAnsi="宋体" w:eastAsia="宋体" w:cs="宋体"/>
                <w:color w:val="auto"/>
                <w:sz w:val="24"/>
                <w:szCs w:val="24"/>
                <w:highlight w:val="none"/>
                <w:lang w:val="en-US" w:eastAsia="zh-CN"/>
              </w:rPr>
              <w:t>2026年福建省厦门集美中学后溪校区家具采购项目</w:t>
            </w:r>
          </w:p>
          <w:p w14:paraId="2021D1C1">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采购单位名称：厦门万翔网络商务有限公司</w:t>
            </w:r>
          </w:p>
          <w:p w14:paraId="090FB12E">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 xml:space="preserve">采购单位地址：厦门市湖里区机场北路476号五楼 </w:t>
            </w:r>
          </w:p>
          <w:p w14:paraId="4732ECE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项目内容：</w:t>
            </w:r>
            <w:r>
              <w:rPr>
                <w:rFonts w:hint="eastAsia" w:ascii="宋体" w:hAnsi="宋体" w:eastAsia="宋体" w:cs="宋体"/>
                <w:color w:val="auto"/>
                <w:sz w:val="24"/>
                <w:szCs w:val="24"/>
                <w:highlight w:val="none"/>
                <w:lang w:val="en-US" w:eastAsia="zh-CN"/>
              </w:rPr>
              <w:t>2026年福建省厦门集美中学后溪校区家具采购项目</w:t>
            </w:r>
            <w:r>
              <w:rPr>
                <w:rFonts w:hint="eastAsia" w:ascii="宋体" w:hAnsi="宋体" w:eastAsia="宋体" w:cs="宋体"/>
                <w:color w:val="auto"/>
                <w:sz w:val="24"/>
                <w:szCs w:val="24"/>
                <w:highlight w:val="none"/>
              </w:rPr>
              <w:t xml:space="preserve"> </w:t>
            </w:r>
          </w:p>
          <w:p w14:paraId="428EAD1E">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u w:val="single"/>
                <w:lang w:val="en-US" w:eastAsia="zh-CN"/>
              </w:rPr>
            </w:pPr>
            <w:r>
              <w:rPr>
                <w:rFonts w:hint="eastAsia" w:ascii="宋体" w:hAnsi="宋体" w:eastAsia="宋体" w:cs="宋体"/>
                <w:color w:val="auto"/>
                <w:sz w:val="24"/>
                <w:szCs w:val="24"/>
                <w:highlight w:val="none"/>
              </w:rPr>
              <w:t>项目编号：</w:t>
            </w:r>
            <w:r>
              <w:rPr>
                <w:rFonts w:hint="eastAsia" w:ascii="宋体" w:hAnsi="宋体" w:cs="宋体"/>
                <w:color w:val="auto"/>
                <w:sz w:val="24"/>
                <w:szCs w:val="24"/>
                <w:highlight w:val="none"/>
                <w:u w:val="single"/>
                <w:lang w:eastAsia="zh-CN"/>
              </w:rPr>
              <w:t>XM2026</w:t>
            </w:r>
            <w:r>
              <w:rPr>
                <w:rFonts w:hint="eastAsia" w:ascii="宋体" w:hAnsi="宋体" w:eastAsia="宋体" w:cs="宋体"/>
                <w:color w:val="auto"/>
                <w:sz w:val="24"/>
                <w:szCs w:val="24"/>
                <w:highlight w:val="none"/>
                <w:u w:val="single"/>
              </w:rPr>
              <w:t>-DZ</w:t>
            </w:r>
            <w:r>
              <w:rPr>
                <w:rFonts w:hint="eastAsia" w:ascii="宋体" w:hAnsi="宋体" w:cs="宋体"/>
                <w:color w:val="auto"/>
                <w:sz w:val="24"/>
                <w:szCs w:val="24"/>
                <w:highlight w:val="none"/>
                <w:u w:val="single"/>
                <w:lang w:val="en-US" w:eastAsia="zh-CN"/>
              </w:rPr>
              <w:t>0014</w:t>
            </w:r>
          </w:p>
          <w:p w14:paraId="1067106E">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u w:val="single"/>
                <w:lang w:val="en-US" w:eastAsia="zh-CN"/>
              </w:rPr>
            </w:pPr>
            <w:r>
              <w:rPr>
                <w:rFonts w:hint="eastAsia" w:ascii="宋体" w:hAnsi="宋体" w:cs="宋体"/>
                <w:color w:val="auto"/>
                <w:sz w:val="24"/>
                <w:szCs w:val="24"/>
                <w:highlight w:val="none"/>
                <w:u w:val="single"/>
                <w:lang w:val="en-US" w:eastAsia="zh-CN"/>
              </w:rPr>
              <w:t>采购预算：</w:t>
            </w:r>
            <w:r>
              <w:rPr>
                <w:rFonts w:hint="eastAsia" w:ascii="宋体" w:hAnsi="宋体" w:cs="宋体"/>
                <w:color w:val="auto"/>
                <w:sz w:val="24"/>
                <w:szCs w:val="24"/>
                <w:highlight w:val="none"/>
                <w:u w:val="single"/>
              </w:rPr>
              <w:t>人民币</w:t>
            </w:r>
            <w:r>
              <w:rPr>
                <w:rFonts w:hint="eastAsia" w:ascii="宋体" w:hAnsi="宋体" w:cs="宋体"/>
                <w:color w:val="auto"/>
                <w:sz w:val="24"/>
                <w:szCs w:val="24"/>
                <w:highlight w:val="none"/>
                <w:u w:val="single"/>
                <w:lang w:val="en-US" w:eastAsia="zh-CN"/>
              </w:rPr>
              <w:t>260</w:t>
            </w:r>
            <w:r>
              <w:rPr>
                <w:rFonts w:hint="eastAsia" w:ascii="宋体" w:hAnsi="宋体" w:cs="宋体"/>
                <w:color w:val="auto"/>
                <w:sz w:val="24"/>
                <w:szCs w:val="24"/>
                <w:highlight w:val="none"/>
                <w:u w:val="single"/>
              </w:rPr>
              <w:t>万元整</w:t>
            </w:r>
          </w:p>
        </w:tc>
      </w:tr>
      <w:tr w14:paraId="517D1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00" w:type="dxa"/>
            <w:noWrap w:val="0"/>
            <w:vAlign w:val="center"/>
          </w:tcPr>
          <w:p w14:paraId="52127F3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080" w:type="dxa"/>
            <w:noWrap w:val="0"/>
            <w:vAlign w:val="center"/>
          </w:tcPr>
          <w:p w14:paraId="26F5B85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7380" w:type="dxa"/>
            <w:noWrap w:val="0"/>
            <w:vAlign w:val="center"/>
          </w:tcPr>
          <w:p w14:paraId="2D2621C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资格标准：</w:t>
            </w:r>
          </w:p>
          <w:p w14:paraId="7A520BF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详见第二章《投标人须知》第3条，以及第三章《招标内容及要求》有关内容。</w:t>
            </w:r>
          </w:p>
        </w:tc>
      </w:tr>
      <w:tr w14:paraId="7880F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4D716FC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080" w:type="dxa"/>
            <w:noWrap w:val="0"/>
            <w:vAlign w:val="center"/>
          </w:tcPr>
          <w:p w14:paraId="2F82D94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7380" w:type="dxa"/>
            <w:noWrap w:val="0"/>
            <w:vAlign w:val="center"/>
          </w:tcPr>
          <w:p w14:paraId="3747622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w:t>
            </w:r>
          </w:p>
          <w:p w14:paraId="5998474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有效期不足将导致其投标文件被拒绝。</w:t>
            </w:r>
          </w:p>
        </w:tc>
      </w:tr>
      <w:tr w14:paraId="0C5AA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550C8E2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080" w:type="dxa"/>
            <w:noWrap w:val="0"/>
            <w:vAlign w:val="center"/>
          </w:tcPr>
          <w:p w14:paraId="178FE3F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7380" w:type="dxa"/>
            <w:noWrap w:val="0"/>
            <w:vAlign w:val="center"/>
          </w:tcPr>
          <w:p w14:paraId="25A13B2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r>
              <w:rPr>
                <w:rFonts w:hint="eastAsia" w:ascii="宋体" w:hAnsi="宋体" w:eastAsia="宋体" w:cs="宋体"/>
                <w:color w:val="auto"/>
                <w:sz w:val="24"/>
                <w:szCs w:val="24"/>
                <w:highlight w:val="none"/>
                <w:u w:val="single"/>
              </w:rPr>
              <w:t xml:space="preserve">    0元      </w:t>
            </w:r>
          </w:p>
          <w:p w14:paraId="588EC3C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①投标保证金以转账、电汇两种形式提交（不收取现金、现金支票，不能用个人卡在银联支付系统转账，否则作未提交投标保证金处理）。</w:t>
            </w:r>
          </w:p>
          <w:p w14:paraId="7165EEE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②若项目存在分合同包采购的，则投标保证金应按不同的合同包号分别提交。</w:t>
            </w:r>
          </w:p>
          <w:p w14:paraId="31B5BD7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③经评审，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所有采购标的均为中小企业（含个体工商户）制造的货物，或者监狱企业提供本单位制造的货物；或者残疾人福利性单位提供本单位制造的货物（或提供其他残疾人福利性单位制造的货物），投标保证金</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交纳投标保证金的投标人应按照招标文件格式要求在投标文件中提供《中小企业声明函》。</w:t>
            </w:r>
          </w:p>
          <w:p w14:paraId="1202E56D">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④</w:t>
            </w:r>
            <w:r>
              <w:rPr>
                <w:rFonts w:hint="eastAsia" w:ascii="宋体" w:hAnsi="宋体" w:eastAsia="宋体" w:cs="宋体"/>
                <w:color w:val="auto"/>
                <w:kern w:val="0"/>
                <w:sz w:val="24"/>
                <w:szCs w:val="24"/>
                <w:highlight w:val="none"/>
              </w:rPr>
              <w:t>投标保证金应在投标截止时间前到账。</w:t>
            </w:r>
          </w:p>
          <w:p w14:paraId="0B905241">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未按前述规定缴交投标保证金的，投标无效。</w:t>
            </w:r>
          </w:p>
          <w:p w14:paraId="3377E2F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⑤投标保证金按投标人缴交账号原路退回，遇投标人账号变更、非投标保证金款项误转进投标保证金专户等特殊情况确实无法原路退回的，需经同级政府采购监管部门核实后方可退回。</w:t>
            </w:r>
          </w:p>
        </w:tc>
      </w:tr>
      <w:tr w14:paraId="29726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14B40375">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080" w:type="dxa"/>
            <w:noWrap w:val="0"/>
            <w:vAlign w:val="center"/>
          </w:tcPr>
          <w:p w14:paraId="4EF8F79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w:t>
            </w:r>
          </w:p>
        </w:tc>
        <w:tc>
          <w:tcPr>
            <w:tcW w:w="7380" w:type="dxa"/>
            <w:noWrap w:val="0"/>
            <w:vAlign w:val="center"/>
          </w:tcPr>
          <w:p w14:paraId="6ECD8B5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评标方法、标准及定标原则(含推荐中标候选供应商数量)：</w:t>
            </w:r>
          </w:p>
          <w:p w14:paraId="36BBF5D0">
            <w:pPr>
              <w:pStyle w:val="5"/>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详见《投标人须知前附表3》。</w:t>
            </w:r>
          </w:p>
        </w:tc>
      </w:tr>
      <w:tr w14:paraId="1E5F2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26D9D31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080" w:type="dxa"/>
            <w:noWrap w:val="0"/>
            <w:vAlign w:val="center"/>
          </w:tcPr>
          <w:p w14:paraId="3A725025">
            <w:pPr>
              <w:keepNext w:val="0"/>
              <w:keepLines w:val="0"/>
              <w:suppressLineNumbers w:val="0"/>
              <w:spacing w:before="0" w:beforeAutospacing="0" w:after="0" w:afterAutospacing="0" w:line="360" w:lineRule="auto"/>
              <w:ind w:left="0" w:right="-63" w:rightChars="-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w:t>
            </w:r>
          </w:p>
        </w:tc>
        <w:tc>
          <w:tcPr>
            <w:tcW w:w="7380" w:type="dxa"/>
            <w:noWrap w:val="0"/>
            <w:vAlign w:val="center"/>
          </w:tcPr>
          <w:p w14:paraId="0F66BE2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0632B650">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收费标准：</w:t>
            </w:r>
          </w:p>
          <w:tbl>
            <w:tblPr>
              <w:tblStyle w:val="1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14:paraId="4391F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21" w:type="dxa"/>
                  <w:noWrap w:val="0"/>
                  <w:vAlign w:val="top"/>
                </w:tcPr>
                <w:p w14:paraId="0FD8BE92">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中标金额(万元)</w:t>
                  </w:r>
                </w:p>
              </w:tc>
              <w:tc>
                <w:tcPr>
                  <w:tcW w:w="2700" w:type="dxa"/>
                  <w:noWrap w:val="0"/>
                  <w:vAlign w:val="top"/>
                </w:tcPr>
                <w:p w14:paraId="55B39E37">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费率</w:t>
                  </w:r>
                </w:p>
              </w:tc>
            </w:tr>
            <w:tr w14:paraId="7738B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31773B0C">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[0―100]</w:t>
                  </w:r>
                </w:p>
              </w:tc>
              <w:tc>
                <w:tcPr>
                  <w:tcW w:w="2700" w:type="dxa"/>
                  <w:noWrap w:val="0"/>
                  <w:vAlign w:val="top"/>
                </w:tcPr>
                <w:p w14:paraId="0D391D7E">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r>
            <w:tr w14:paraId="4696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52A07239">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（100－500]</w:t>
                  </w:r>
                </w:p>
              </w:tc>
              <w:tc>
                <w:tcPr>
                  <w:tcW w:w="2700" w:type="dxa"/>
                  <w:noWrap w:val="0"/>
                  <w:vAlign w:val="top"/>
                </w:tcPr>
                <w:p w14:paraId="16376889">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r>
            <w:tr w14:paraId="68223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7CB17E0B">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（500-1000]</w:t>
                  </w:r>
                </w:p>
              </w:tc>
              <w:tc>
                <w:tcPr>
                  <w:tcW w:w="2700" w:type="dxa"/>
                  <w:noWrap w:val="0"/>
                  <w:vAlign w:val="top"/>
                </w:tcPr>
                <w:p w14:paraId="69096DA5">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0.8%</w:t>
                  </w:r>
                </w:p>
              </w:tc>
            </w:tr>
            <w:tr w14:paraId="779C7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5A387584">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（1000-5000]</w:t>
                  </w:r>
                </w:p>
              </w:tc>
              <w:tc>
                <w:tcPr>
                  <w:tcW w:w="2700" w:type="dxa"/>
                  <w:noWrap w:val="0"/>
                  <w:vAlign w:val="top"/>
                </w:tcPr>
                <w:p w14:paraId="3AA10CED">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0.5%</w:t>
                  </w:r>
                </w:p>
              </w:tc>
            </w:tr>
            <w:tr w14:paraId="038C4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5D9BD35E">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（5000-10000]</w:t>
                  </w:r>
                </w:p>
              </w:tc>
              <w:tc>
                <w:tcPr>
                  <w:tcW w:w="2700" w:type="dxa"/>
                  <w:noWrap w:val="0"/>
                  <w:vAlign w:val="top"/>
                </w:tcPr>
                <w:p w14:paraId="51A980E2">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0.25%</w:t>
                  </w:r>
                </w:p>
              </w:tc>
            </w:tr>
            <w:tr w14:paraId="0DD29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0B7C8F5D">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（10000-50000]</w:t>
                  </w:r>
                </w:p>
              </w:tc>
              <w:tc>
                <w:tcPr>
                  <w:tcW w:w="2700" w:type="dxa"/>
                  <w:noWrap w:val="0"/>
                  <w:vAlign w:val="top"/>
                </w:tcPr>
                <w:p w14:paraId="04A8948A">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0.05%</w:t>
                  </w:r>
                </w:p>
              </w:tc>
            </w:tr>
            <w:tr w14:paraId="1D95B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2EE58C8F">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（50000-100000]</w:t>
                  </w:r>
                </w:p>
              </w:tc>
              <w:tc>
                <w:tcPr>
                  <w:tcW w:w="2700" w:type="dxa"/>
                  <w:noWrap w:val="0"/>
                  <w:vAlign w:val="top"/>
                </w:tcPr>
                <w:p w14:paraId="3EB33636">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0.035%</w:t>
                  </w:r>
                </w:p>
              </w:tc>
            </w:tr>
          </w:tbl>
          <w:p w14:paraId="37DB2E4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的收取按差额定率累进法计算,由中标供应商支付。</w:t>
            </w:r>
          </w:p>
          <w:p w14:paraId="604CFFD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2、中标供应商以转账或汇款方式提交。</w:t>
            </w:r>
          </w:p>
          <w:p w14:paraId="360AD24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代理服务费按照上述服务收费标准下浮10%进行支付。</w:t>
            </w:r>
          </w:p>
        </w:tc>
      </w:tr>
      <w:tr w14:paraId="77A34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20DD69E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452DD8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44C56BA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监督管理部门：</w:t>
            </w:r>
            <w:r>
              <w:rPr>
                <w:rFonts w:hint="eastAsia" w:ascii="宋体" w:hAnsi="宋体" w:eastAsia="宋体" w:cs="宋体"/>
                <w:color w:val="auto"/>
                <w:sz w:val="24"/>
                <w:szCs w:val="24"/>
                <w:highlight w:val="none"/>
              </w:rPr>
              <w:t>厦门市财政局</w:t>
            </w:r>
            <w:r>
              <w:rPr>
                <w:rFonts w:hint="eastAsia" w:ascii="宋体" w:hAnsi="宋体" w:eastAsia="宋体" w:cs="宋体"/>
                <w:color w:val="auto"/>
                <w:sz w:val="24"/>
                <w:szCs w:val="24"/>
                <w:highlight w:val="none"/>
              </w:rPr>
              <w:t>。</w:t>
            </w:r>
          </w:p>
        </w:tc>
      </w:tr>
      <w:tr w14:paraId="0A301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09F5C68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8EFD3A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10F2757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是否允许进口产品参加本采购项目：</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eq \o\ac(</w:instrText>
            </w:r>
            <w:r>
              <w:rPr>
                <w:rFonts w:hint="eastAsia" w:ascii="宋体" w:hAnsi="宋体" w:eastAsia="宋体" w:cs="宋体"/>
                <w:color w:val="auto"/>
                <w:position w:val="-4"/>
                <w:sz w:val="36"/>
                <w:szCs w:val="24"/>
                <w:highlight w:val="none"/>
              </w:rPr>
              <w:instrText xml:space="preserve">□</w:instrText>
            </w:r>
            <w:r>
              <w:rPr>
                <w:rFonts w:hint="eastAsia" w:ascii="宋体" w:hAnsi="宋体" w:eastAsia="宋体" w:cs="宋体"/>
                <w:color w:val="auto"/>
                <w:sz w:val="24"/>
                <w:szCs w:val="24"/>
                <w:highlight w:val="none"/>
              </w:rPr>
              <w:instrText xml:space="preserve">,√)</w:instrTex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否</w:t>
            </w:r>
          </w:p>
        </w:tc>
      </w:tr>
      <w:tr w14:paraId="2D2F3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428575F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1BD0A0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5679B7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1、关于证明材料或资料：</w:t>
            </w:r>
          </w:p>
          <w:p w14:paraId="6911A1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2D504D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b.若投标人提供注明“复印件无效”或“复印无效”的证明材料或资料，应结合上文a条款进行判定，若招标文件未要求投标人提供原件，投标人提供原件，复印件（含扫描件）均视为满足招标文件要求。</w:t>
            </w:r>
          </w:p>
          <w:p w14:paraId="58438F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2、关于“全称”、“投标人代表签字”及“加盖单位公章”：</w:t>
            </w:r>
          </w:p>
          <w:p w14:paraId="6ABF2F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a.在电子投标文件中，涉及“全称”和“投标人代表签字”的内容可使用打字录入方式完成。</w:t>
            </w:r>
          </w:p>
          <w:p w14:paraId="0BAE3C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b.在电子投标文件中，涉及“加盖单位公章”的内容应使用投标人的CA证书完成，否则投标无效。</w:t>
            </w:r>
          </w:p>
          <w:p w14:paraId="228552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c.在电子投标文件中，若投标人按照第b项规定加盖其单位公章，则出现无全称、或投标人代表未签字等情形，不视为投标无效。</w:t>
            </w:r>
          </w:p>
          <w:p w14:paraId="1D8CDB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cs="宋体"/>
                <w:color w:val="auto"/>
                <w:spacing w:val="0"/>
                <w:kern w:val="0"/>
                <w:sz w:val="24"/>
                <w:szCs w:val="24"/>
                <w:highlight w:val="none"/>
                <w:lang w:val="en-US" w:eastAsia="zh-CN"/>
              </w:rPr>
              <w:t>3</w:t>
            </w:r>
            <w:r>
              <w:rPr>
                <w:rFonts w:hint="eastAsia" w:ascii="宋体" w:hAnsi="宋体" w:eastAsia="宋体" w:cs="宋体"/>
                <w:color w:val="auto"/>
                <w:spacing w:val="0"/>
                <w:kern w:val="0"/>
                <w:sz w:val="24"/>
                <w:szCs w:val="24"/>
                <w:highlight w:val="none"/>
                <w:lang w:val="en-US" w:eastAsia="zh-CN"/>
              </w:rPr>
              <w:t>、关于投标截止时间过后</w:t>
            </w:r>
            <w:r>
              <w:rPr>
                <w:rFonts w:hint="eastAsia" w:ascii="宋体" w:hAnsi="宋体" w:cs="宋体"/>
                <w:color w:val="auto"/>
                <w:spacing w:val="0"/>
                <w:kern w:val="0"/>
                <w:sz w:val="24"/>
                <w:szCs w:val="24"/>
                <w:highlight w:val="none"/>
                <w:lang w:val="en-US" w:eastAsia="zh-CN"/>
              </w:rPr>
              <w:t>，</w:t>
            </w:r>
            <w:r>
              <w:rPr>
                <w:rFonts w:hint="eastAsia" w:ascii="宋体" w:hAnsi="宋体" w:eastAsia="宋体" w:cs="宋体"/>
                <w:color w:val="auto"/>
                <w:spacing w:val="0"/>
                <w:kern w:val="0"/>
                <w:sz w:val="24"/>
                <w:szCs w:val="24"/>
                <w:highlight w:val="none"/>
                <w:lang w:val="en-US" w:eastAsia="zh-CN"/>
              </w:rPr>
              <w:t>有下列情形之一的，其投标无效,其保证金不予退还：</w:t>
            </w:r>
          </w:p>
          <w:p w14:paraId="382B3A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a.不同投标人的电子投标文件具有相同内部识别码；</w:t>
            </w:r>
          </w:p>
          <w:p w14:paraId="6335DF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b.投标人的投标保证金同一采购包下有其他投标人提交的投标保证金；</w:t>
            </w:r>
          </w:p>
          <w:p w14:paraId="33BA62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kern w:val="0"/>
                <w:sz w:val="24"/>
                <w:szCs w:val="24"/>
                <w:highlight w:val="none"/>
                <w:lang w:val="en-US" w:eastAsia="zh-CN"/>
              </w:rPr>
              <w:t>c.不同投标人存在串通投标的其他情形。</w:t>
            </w:r>
          </w:p>
        </w:tc>
      </w:tr>
    </w:tbl>
    <w:p w14:paraId="71E2D1C6">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2E40E8DA">
      <w:pPr>
        <w:spacing w:line="360" w:lineRule="auto"/>
        <w:jc w:val="center"/>
        <w:rPr>
          <w:rFonts w:hint="eastAsia" w:ascii="宋体" w:hAnsi="宋体" w:eastAsia="宋体" w:cs="宋体"/>
          <w:b/>
          <w:bCs/>
          <w:color w:val="auto"/>
          <w:sz w:val="24"/>
          <w:szCs w:val="24"/>
          <w:highlight w:val="none"/>
          <w:u w:val="single"/>
        </w:rPr>
      </w:pPr>
    </w:p>
    <w:p w14:paraId="268FE620">
      <w:pPr>
        <w:spacing w:line="360" w:lineRule="auto"/>
        <w:jc w:val="center"/>
        <w:rPr>
          <w:rFonts w:hint="eastAsia" w:ascii="宋体" w:hAnsi="宋体" w:eastAsia="宋体" w:cs="宋体"/>
          <w:b/>
          <w:bCs/>
          <w:color w:val="auto"/>
          <w:sz w:val="24"/>
          <w:szCs w:val="24"/>
          <w:highlight w:val="none"/>
          <w:u w:val="single"/>
        </w:rPr>
      </w:pPr>
    </w:p>
    <w:p w14:paraId="18743AC2">
      <w:pPr>
        <w:spacing w:line="360" w:lineRule="auto"/>
        <w:jc w:val="center"/>
        <w:rPr>
          <w:rFonts w:hint="eastAsia" w:ascii="宋体" w:hAnsi="宋体" w:eastAsia="宋体" w:cs="宋体"/>
          <w:b/>
          <w:bCs/>
          <w:color w:val="auto"/>
          <w:sz w:val="24"/>
          <w:szCs w:val="24"/>
          <w:highlight w:val="none"/>
          <w:u w:val="single"/>
        </w:rPr>
      </w:pPr>
    </w:p>
    <w:p w14:paraId="0965C3B0">
      <w:pPr>
        <w:spacing w:line="360" w:lineRule="auto"/>
        <w:jc w:val="center"/>
        <w:rPr>
          <w:rFonts w:hint="eastAsia" w:ascii="宋体" w:hAnsi="宋体" w:eastAsia="宋体" w:cs="宋体"/>
          <w:b/>
          <w:bCs/>
          <w:color w:val="auto"/>
          <w:sz w:val="24"/>
          <w:szCs w:val="24"/>
          <w:highlight w:val="none"/>
          <w:u w:val="single"/>
        </w:rPr>
      </w:pPr>
    </w:p>
    <w:p w14:paraId="70C2093F">
      <w:pPr>
        <w:spacing w:line="360" w:lineRule="auto"/>
        <w:jc w:val="center"/>
        <w:rPr>
          <w:rFonts w:hint="eastAsia" w:ascii="宋体" w:hAnsi="宋体" w:eastAsia="宋体" w:cs="宋体"/>
          <w:b/>
          <w:bCs/>
          <w:color w:val="auto"/>
          <w:sz w:val="24"/>
          <w:szCs w:val="24"/>
          <w:highlight w:val="none"/>
          <w:u w:val="single"/>
        </w:rPr>
      </w:pPr>
    </w:p>
    <w:p w14:paraId="5D46D238">
      <w:pPr>
        <w:spacing w:line="360" w:lineRule="auto"/>
        <w:jc w:val="center"/>
        <w:rPr>
          <w:rFonts w:hint="eastAsia" w:ascii="宋体" w:hAnsi="宋体" w:eastAsia="宋体" w:cs="宋体"/>
          <w:b/>
          <w:bCs/>
          <w:color w:val="auto"/>
          <w:sz w:val="24"/>
          <w:szCs w:val="24"/>
          <w:highlight w:val="none"/>
          <w:u w:val="single"/>
        </w:rPr>
      </w:pPr>
    </w:p>
    <w:p w14:paraId="7BC0CE5E">
      <w:pPr>
        <w:spacing w:line="360" w:lineRule="auto"/>
        <w:jc w:val="center"/>
        <w:rPr>
          <w:rFonts w:hint="eastAsia" w:ascii="宋体" w:hAnsi="宋体" w:eastAsia="宋体" w:cs="宋体"/>
          <w:b/>
          <w:bCs/>
          <w:color w:val="auto"/>
          <w:sz w:val="32"/>
          <w:szCs w:val="32"/>
          <w:highlight w:val="none"/>
          <w:u w:val="single"/>
        </w:rPr>
      </w:pPr>
    </w:p>
    <w:p w14:paraId="5E58BAA8">
      <w:pPr>
        <w:spacing w:line="360" w:lineRule="auto"/>
        <w:jc w:val="center"/>
        <w:rPr>
          <w:rFonts w:hint="eastAsia" w:ascii="宋体" w:hAnsi="宋体" w:eastAsia="宋体" w:cs="宋体"/>
          <w:b/>
          <w:bCs/>
          <w:color w:val="auto"/>
          <w:sz w:val="32"/>
          <w:szCs w:val="32"/>
          <w:highlight w:val="none"/>
          <w:u w:val="single"/>
        </w:rPr>
      </w:pPr>
    </w:p>
    <w:p w14:paraId="64F71A02">
      <w:pPr>
        <w:spacing w:line="360" w:lineRule="auto"/>
        <w:ind w:firstLine="1285" w:firstLineChars="400"/>
        <w:jc w:val="both"/>
        <w:rPr>
          <w:rFonts w:hint="eastAsia" w:ascii="宋体" w:hAnsi="宋体" w:eastAsia="宋体" w:cs="宋体"/>
          <w:b/>
          <w:bCs/>
          <w:color w:val="auto"/>
          <w:sz w:val="32"/>
          <w:szCs w:val="32"/>
          <w:highlight w:val="none"/>
          <w:u w:val="single"/>
        </w:rPr>
      </w:pPr>
    </w:p>
    <w:p w14:paraId="0EF76BF6">
      <w:pPr>
        <w:spacing w:line="360" w:lineRule="auto"/>
        <w:ind w:firstLine="1285" w:firstLineChars="400"/>
        <w:jc w:val="both"/>
        <w:rPr>
          <w:rFonts w:hint="eastAsia" w:ascii="宋体" w:hAnsi="宋体" w:eastAsia="宋体" w:cs="宋体"/>
          <w:b/>
          <w:bCs/>
          <w:color w:val="auto"/>
          <w:sz w:val="32"/>
          <w:szCs w:val="32"/>
          <w:highlight w:val="none"/>
          <w:u w:val="single"/>
        </w:rPr>
      </w:pPr>
    </w:p>
    <w:p w14:paraId="1F279F25">
      <w:pPr>
        <w:spacing w:line="360" w:lineRule="auto"/>
        <w:ind w:firstLine="1285" w:firstLineChars="400"/>
        <w:jc w:val="both"/>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投标人须知前附表2:资格性、符合性检查表</w:t>
      </w:r>
    </w:p>
    <w:p w14:paraId="12077D4F">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本须知前附表2集中列示了符合性检查的所有条款，其内容是评标委员会在评审过程中判断投标人的投标是否有效的重要依据。本须知前附表</w:t>
      </w:r>
      <w:r>
        <w:rPr>
          <w:rFonts w:hint="default" w:ascii="宋体" w:hAnsi="宋体" w:cs="宋体"/>
          <w:color w:val="auto"/>
          <w:sz w:val="24"/>
          <w:szCs w:val="24"/>
          <w:highlight w:val="none"/>
        </w:rPr>
        <w:t>2</w:t>
      </w:r>
      <w:r>
        <w:rPr>
          <w:rFonts w:hint="eastAsia" w:ascii="宋体" w:hAnsi="宋体" w:eastAsia="宋体" w:cs="宋体"/>
          <w:color w:val="auto"/>
          <w:sz w:val="24"/>
          <w:szCs w:val="24"/>
          <w:highlight w:val="none"/>
        </w:rPr>
        <w:t>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1"/>
        <w:tblW w:w="10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696"/>
        <w:gridCol w:w="943"/>
        <w:gridCol w:w="7960"/>
      </w:tblGrid>
      <w:tr w14:paraId="1D36C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6" w:type="dxa"/>
            <w:gridSpan w:val="4"/>
            <w:noWrap w:val="0"/>
            <w:vAlign w:val="top"/>
          </w:tcPr>
          <w:p w14:paraId="6C5B1B31">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资格性要求</w:t>
            </w:r>
          </w:p>
        </w:tc>
      </w:tr>
      <w:tr w14:paraId="13336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bottom w:val="single" w:color="auto" w:sz="4" w:space="0"/>
            </w:tcBorders>
            <w:noWrap w:val="0"/>
            <w:vAlign w:val="center"/>
          </w:tcPr>
          <w:p w14:paraId="24C4AA82">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项号</w:t>
            </w:r>
          </w:p>
        </w:tc>
        <w:tc>
          <w:tcPr>
            <w:tcW w:w="696" w:type="dxa"/>
            <w:tcBorders>
              <w:bottom w:val="single" w:color="auto" w:sz="4" w:space="0"/>
            </w:tcBorders>
            <w:noWrap w:val="0"/>
            <w:vAlign w:val="center"/>
          </w:tcPr>
          <w:p w14:paraId="2956D9B3">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章</w:t>
            </w:r>
          </w:p>
        </w:tc>
        <w:tc>
          <w:tcPr>
            <w:tcW w:w="943" w:type="dxa"/>
            <w:tcBorders>
              <w:bottom w:val="single" w:color="auto" w:sz="4" w:space="0"/>
            </w:tcBorders>
            <w:noWrap w:val="0"/>
            <w:vAlign w:val="center"/>
          </w:tcPr>
          <w:p w14:paraId="550798F2">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条款号</w:t>
            </w:r>
          </w:p>
        </w:tc>
        <w:tc>
          <w:tcPr>
            <w:tcW w:w="7960" w:type="dxa"/>
            <w:tcBorders>
              <w:bottom w:val="single" w:color="auto" w:sz="4" w:space="0"/>
            </w:tcBorders>
            <w:noWrap w:val="0"/>
            <w:vAlign w:val="center"/>
          </w:tcPr>
          <w:p w14:paraId="3737C3AB">
            <w:pPr>
              <w:keepNext w:val="0"/>
              <w:keepLines w:val="0"/>
              <w:suppressLineNumbers w:val="0"/>
              <w:tabs>
                <w:tab w:val="left" w:pos="2848"/>
              </w:tabs>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具体内容</w:t>
            </w:r>
          </w:p>
        </w:tc>
      </w:tr>
      <w:tr w14:paraId="220EA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2EAA01B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397398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5FA6C8A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7960" w:type="dxa"/>
            <w:tcBorders>
              <w:top w:val="single" w:color="auto" w:sz="4" w:space="0"/>
              <w:left w:val="single" w:color="auto" w:sz="4" w:space="0"/>
              <w:bottom w:val="single" w:color="auto" w:sz="4" w:space="0"/>
              <w:right w:val="single" w:color="auto" w:sz="4" w:space="0"/>
            </w:tcBorders>
            <w:noWrap w:val="0"/>
            <w:vAlign w:val="center"/>
          </w:tcPr>
          <w:p w14:paraId="15F4DC0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合格的投标人</w:t>
            </w:r>
          </w:p>
          <w:p w14:paraId="109D69D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具体内容详见第二章第3条“合格的投标人”。</w:t>
            </w:r>
          </w:p>
        </w:tc>
      </w:tr>
      <w:tr w14:paraId="73CD7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1DCE504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3B1011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33DBD3E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7960" w:type="dxa"/>
            <w:tcBorders>
              <w:top w:val="single" w:color="auto" w:sz="4" w:space="0"/>
              <w:left w:val="single" w:color="auto" w:sz="4" w:space="0"/>
              <w:bottom w:val="single" w:color="auto" w:sz="4" w:space="0"/>
              <w:right w:val="single" w:color="auto" w:sz="4" w:space="0"/>
            </w:tcBorders>
            <w:noWrap w:val="0"/>
            <w:vAlign w:val="center"/>
          </w:tcPr>
          <w:p w14:paraId="41685DF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72CB9D6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投标人应具备《中华人民共和国政府采购法》第二十二条第一款规定的条件，并提供以下材料：</w:t>
            </w:r>
          </w:p>
          <w:p w14:paraId="5C6D466B">
            <w:pPr>
              <w:keepNext w:val="0"/>
              <w:keepLines w:val="0"/>
              <w:suppressLineNumbers w:val="0"/>
              <w:spacing w:before="0" w:beforeAutospacing="0" w:after="0" w:afterAutospacing="0" w:line="360" w:lineRule="auto"/>
              <w:ind w:left="0" w:right="0" w:firstLine="241" w:firstLineChars="100"/>
              <w:rPr>
                <w:rFonts w:hint="eastAsia" w:ascii="宋体" w:hAnsi="宋体" w:cs="宋体"/>
                <w:b/>
                <w:color w:val="auto"/>
                <w:sz w:val="24"/>
                <w:szCs w:val="24"/>
                <w:highlight w:val="none"/>
              </w:rPr>
            </w:pPr>
            <w:r>
              <w:rPr>
                <w:rFonts w:hint="eastAsia" w:ascii="宋体" w:hAnsi="宋体" w:cs="宋体"/>
                <w:b/>
                <w:color w:val="auto"/>
                <w:sz w:val="24"/>
                <w:szCs w:val="24"/>
                <w:highlight w:val="none"/>
              </w:rPr>
              <w:t>（1）</w:t>
            </w:r>
            <w:r>
              <w:rPr>
                <w:rFonts w:hint="eastAsia" w:ascii="宋体" w:hAnsi="宋体" w:cs="宋体"/>
                <w:b/>
                <w:color w:val="auto"/>
                <w:sz w:val="24"/>
                <w:szCs w:val="24"/>
                <w:highlight w:val="none"/>
                <w:lang w:val="en-US" w:eastAsia="zh-CN"/>
              </w:rPr>
              <w:t>投标</w:t>
            </w:r>
            <w:r>
              <w:rPr>
                <w:rFonts w:hint="eastAsia" w:ascii="宋体" w:hAnsi="宋体" w:cs="宋体"/>
                <w:b/>
                <w:color w:val="auto"/>
                <w:sz w:val="24"/>
                <w:szCs w:val="24"/>
                <w:highlight w:val="none"/>
              </w:rPr>
              <w:t>人提供营业执照（副本）复印件（加盖公章）的复印件，提供组织机构代码证复印件。</w:t>
            </w:r>
            <w:r>
              <w:rPr>
                <w:rFonts w:hint="eastAsia" w:ascii="宋体" w:hAnsi="宋体" w:cs="宋体"/>
                <w:b/>
                <w:color w:val="auto"/>
                <w:sz w:val="24"/>
                <w:szCs w:val="24"/>
                <w:highlight w:val="none"/>
                <w:lang w:val="en-US" w:eastAsia="zh-CN"/>
              </w:rPr>
              <w:t>投标</w:t>
            </w:r>
            <w:r>
              <w:rPr>
                <w:rFonts w:hint="eastAsia" w:ascii="宋体" w:hAnsi="宋体" w:cs="宋体"/>
                <w:b/>
                <w:color w:val="auto"/>
                <w:sz w:val="24"/>
                <w:szCs w:val="24"/>
                <w:highlight w:val="none"/>
              </w:rPr>
              <w:t>人已提供加载有统一社会信用代码营业执照的，视为已提供税务登记证和组织机构代码证。</w:t>
            </w:r>
          </w:p>
          <w:p w14:paraId="2152072F">
            <w:pPr>
              <w:keepNext w:val="0"/>
              <w:keepLines w:val="0"/>
              <w:suppressLineNumbers w:val="0"/>
              <w:spacing w:before="0" w:beforeAutospacing="0" w:after="0" w:afterAutospacing="0" w:line="360" w:lineRule="auto"/>
              <w:ind w:left="0" w:right="0" w:firstLine="241" w:firstLineChars="100"/>
              <w:rPr>
                <w:rFonts w:hint="eastAsia" w:ascii="宋体" w:hAnsi="宋体" w:eastAsia="宋体" w:cs="宋体"/>
                <w:color w:val="auto"/>
                <w:sz w:val="24"/>
                <w:szCs w:val="24"/>
                <w:highlight w:val="none"/>
              </w:rPr>
            </w:pPr>
            <w:r>
              <w:rPr>
                <w:rFonts w:hint="eastAsia" w:ascii="宋体" w:hAnsi="宋体" w:cs="宋体"/>
                <w:b/>
                <w:color w:val="auto"/>
                <w:sz w:val="24"/>
                <w:szCs w:val="24"/>
                <w:highlight w:val="none"/>
              </w:rPr>
              <w:t>（2）</w:t>
            </w:r>
            <w:r>
              <w:rPr>
                <w:rFonts w:hint="eastAsia" w:ascii="宋体" w:hAnsi="宋体" w:cs="宋体"/>
                <w:b/>
                <w:color w:val="auto"/>
                <w:sz w:val="24"/>
                <w:szCs w:val="24"/>
                <w:highlight w:val="none"/>
                <w:lang w:val="en-US" w:eastAsia="zh-CN"/>
              </w:rPr>
              <w:t>投标</w:t>
            </w:r>
            <w:r>
              <w:rPr>
                <w:rFonts w:hint="eastAsia" w:ascii="宋体" w:hAnsi="宋体" w:cs="宋体"/>
                <w:b/>
                <w:color w:val="auto"/>
                <w:sz w:val="24"/>
                <w:szCs w:val="24"/>
                <w:highlight w:val="none"/>
              </w:rPr>
              <w:t>人全权代表若不是单位负责人，应提供</w:t>
            </w:r>
            <w:r>
              <w:rPr>
                <w:rFonts w:hint="eastAsia" w:ascii="宋体" w:hAnsi="宋体" w:cs="宋体"/>
                <w:b/>
                <w:color w:val="auto"/>
                <w:sz w:val="24"/>
                <w:szCs w:val="24"/>
                <w:highlight w:val="none"/>
                <w:lang w:val="en-US" w:eastAsia="zh-CN"/>
              </w:rPr>
              <w:t>投标单位</w:t>
            </w:r>
            <w:r>
              <w:rPr>
                <w:rFonts w:hint="eastAsia" w:ascii="宋体" w:hAnsi="宋体" w:cs="宋体"/>
                <w:b/>
                <w:color w:val="auto"/>
                <w:sz w:val="24"/>
                <w:szCs w:val="24"/>
                <w:highlight w:val="none"/>
              </w:rPr>
              <w:t>授权书原件，并提供被授权代表身份证复印件。</w:t>
            </w:r>
          </w:p>
          <w:p w14:paraId="7D5634ED">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 xml:space="preserve"> </w:t>
            </w:r>
            <w:r>
              <w:rPr>
                <w:rFonts w:hint="eastAsia" w:ascii="宋体" w:hAnsi="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val="en-US" w:eastAsia="zh-CN"/>
              </w:rPr>
              <w:t>按要求提供</w:t>
            </w:r>
            <w:r>
              <w:rPr>
                <w:rFonts w:hint="eastAsia" w:ascii="宋体" w:hAnsi="宋体" w:cs="宋体"/>
                <w:b/>
                <w:bCs/>
                <w:color w:val="auto"/>
                <w:sz w:val="24"/>
                <w:szCs w:val="24"/>
                <w:highlight w:val="none"/>
                <w:lang w:val="en-US" w:eastAsia="zh-CN"/>
              </w:rPr>
              <w:t>福建省</w:t>
            </w:r>
            <w:r>
              <w:rPr>
                <w:rFonts w:hint="eastAsia" w:ascii="宋体" w:hAnsi="宋体" w:cs="宋体"/>
                <w:b/>
                <w:bCs/>
                <w:color w:val="auto"/>
                <w:sz w:val="24"/>
                <w:szCs w:val="24"/>
                <w:highlight w:val="none"/>
              </w:rPr>
              <w:t>政府采购供应商资格承诺函</w:t>
            </w:r>
            <w:r>
              <w:rPr>
                <w:rFonts w:hint="eastAsia" w:ascii="宋体" w:hAnsi="宋体" w:eastAsia="宋体" w:cs="宋体"/>
                <w:b/>
                <w:bCs/>
                <w:color w:val="auto"/>
                <w:sz w:val="24"/>
                <w:szCs w:val="24"/>
                <w:highlight w:val="none"/>
                <w:lang w:eastAsia="zh-CN"/>
              </w:rPr>
              <w:t>。</w:t>
            </w:r>
          </w:p>
        </w:tc>
      </w:tr>
      <w:tr w14:paraId="3ABA8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634D33EC">
            <w:pPr>
              <w:keepNext w:val="0"/>
              <w:keepLines w:val="0"/>
              <w:suppressLineNumbers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2DBD2EF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2D24B91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7960" w:type="dxa"/>
            <w:tcBorders>
              <w:top w:val="single" w:color="auto" w:sz="4" w:space="0"/>
              <w:left w:val="single" w:color="auto" w:sz="4" w:space="0"/>
              <w:bottom w:val="single" w:color="auto" w:sz="4" w:space="0"/>
              <w:right w:val="single" w:color="auto" w:sz="4" w:space="0"/>
            </w:tcBorders>
            <w:noWrap w:val="0"/>
            <w:vAlign w:val="center"/>
          </w:tcPr>
          <w:p w14:paraId="7C3CF31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31FEEC9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6A34968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7ACB417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3CA27122">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tc>
      </w:tr>
      <w:tr w14:paraId="0F507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7C2AE70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25AEAD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46D9B0B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7960" w:type="dxa"/>
            <w:tcBorders>
              <w:top w:val="single" w:color="auto" w:sz="4" w:space="0"/>
              <w:left w:val="single" w:color="auto" w:sz="4" w:space="0"/>
              <w:bottom w:val="single" w:color="auto" w:sz="4" w:space="0"/>
              <w:right w:val="single" w:color="auto" w:sz="4" w:space="0"/>
            </w:tcBorders>
            <w:noWrap w:val="0"/>
            <w:vAlign w:val="center"/>
          </w:tcPr>
          <w:p w14:paraId="285C416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tc>
      </w:tr>
      <w:tr w14:paraId="6EFA5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2D42794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FAFCD2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0FF6BB1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7960" w:type="dxa"/>
            <w:tcBorders>
              <w:top w:val="single" w:color="auto" w:sz="4" w:space="0"/>
              <w:left w:val="single" w:color="auto" w:sz="4" w:space="0"/>
              <w:bottom w:val="single" w:color="auto" w:sz="4" w:space="0"/>
              <w:right w:val="single" w:color="auto" w:sz="4" w:space="0"/>
            </w:tcBorders>
            <w:noWrap w:val="0"/>
            <w:vAlign w:val="center"/>
          </w:tcPr>
          <w:p w14:paraId="3996E6D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tc>
      </w:tr>
      <w:tr w14:paraId="537CA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7163759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C2DC73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650C4DF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w:t>
            </w:r>
          </w:p>
        </w:tc>
        <w:tc>
          <w:tcPr>
            <w:tcW w:w="7960" w:type="dxa"/>
            <w:tcBorders>
              <w:top w:val="single" w:color="auto" w:sz="4" w:space="0"/>
              <w:left w:val="single" w:color="auto" w:sz="4" w:space="0"/>
              <w:bottom w:val="single" w:color="auto" w:sz="4" w:space="0"/>
              <w:right w:val="single" w:color="auto" w:sz="4" w:space="0"/>
            </w:tcBorders>
            <w:noWrap w:val="0"/>
            <w:vAlign w:val="center"/>
          </w:tcPr>
          <w:p w14:paraId="5CA4800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tc>
      </w:tr>
      <w:tr w14:paraId="41F7A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06743C1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63C755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tcBorders>
              <w:top w:val="single" w:color="auto" w:sz="4" w:space="0"/>
              <w:left w:val="single" w:color="auto" w:sz="4" w:space="0"/>
              <w:bottom w:val="single" w:color="auto" w:sz="4" w:space="0"/>
              <w:right w:val="single" w:color="auto" w:sz="4" w:space="0"/>
            </w:tcBorders>
            <w:noWrap w:val="0"/>
            <w:vAlign w:val="center"/>
          </w:tcPr>
          <w:p w14:paraId="41E8040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960" w:type="dxa"/>
            <w:tcBorders>
              <w:top w:val="single" w:color="auto" w:sz="4" w:space="0"/>
              <w:left w:val="single" w:color="auto" w:sz="4" w:space="0"/>
              <w:bottom w:val="single" w:color="auto" w:sz="4" w:space="0"/>
              <w:right w:val="single" w:color="auto" w:sz="4" w:space="0"/>
            </w:tcBorders>
            <w:noWrap w:val="0"/>
            <w:vAlign w:val="center"/>
          </w:tcPr>
          <w:p w14:paraId="5FE2388D">
            <w:pPr>
              <w:keepNext w:val="0"/>
              <w:keepLines w:val="0"/>
              <w:suppressLineNumbers w:val="0"/>
              <w:tabs>
                <w:tab w:val="left" w:pos="630"/>
              </w:tabs>
              <w:spacing w:before="0" w:beforeAutospacing="0" w:after="0" w:afterAutospacing="0" w:line="360" w:lineRule="auto"/>
              <w:ind w:left="0" w:right="0"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信用记录按照下列规定执行：信用记录的查询及审查：①由资格审查小组评审当日通过“信用中国”网站（www.creditchina.gov.cn）、中国政府采购网（www.ccgp.gov.cn）、</w:t>
            </w:r>
            <w:r>
              <w:rPr>
                <w:rFonts w:hint="eastAsia" w:ascii="宋体" w:hAnsi="宋体" w:cs="宋体"/>
                <w:color w:val="auto"/>
                <w:sz w:val="24"/>
                <w:szCs w:val="24"/>
                <w:highlight w:val="none"/>
                <w:lang w:eastAsia="zh-CN"/>
              </w:rPr>
              <w:t>信用中国(福建厦门)（credit.xm.gov.cn）</w:t>
            </w:r>
            <w:r>
              <w:rPr>
                <w:rFonts w:hint="eastAsia" w:ascii="宋体" w:hAnsi="宋体" w:eastAsia="宋体" w:cs="宋体"/>
                <w:color w:val="auto"/>
                <w:sz w:val="24"/>
                <w:szCs w:val="24"/>
                <w:highlight w:val="none"/>
              </w:rPr>
              <w:t>查询并打印投标人信用记录（以下简称：“资格审查小组的查询结果”）。②</w:t>
            </w:r>
            <w:r>
              <w:rPr>
                <w:rStyle w:val="12"/>
                <w:rFonts w:hint="eastAsia" w:ascii="宋体" w:hAnsi="宋体" w:eastAsia="宋体" w:cs="宋体"/>
                <w:color w:val="auto"/>
                <w:spacing w:val="0"/>
                <w:kern w:val="2"/>
                <w:sz w:val="24"/>
                <w:szCs w:val="24"/>
                <w:highlight w:val="none"/>
                <w:lang w:val="en-US" w:eastAsia="zh-CN"/>
              </w:rPr>
              <w:t>经查询，投标人</w:t>
            </w:r>
            <w:r>
              <w:rPr>
                <w:rFonts w:hint="eastAsia" w:ascii="宋体" w:hAnsi="宋体" w:eastAsia="宋体" w:cs="宋体"/>
                <w:color w:val="auto"/>
                <w:sz w:val="24"/>
                <w:szCs w:val="24"/>
                <w:highlight w:val="none"/>
              </w:rPr>
              <w:t>（包括联合体各方，联合体成员存在不良记录的，视同联合体存在不良信用记录，认定联合体资格审查不合格）</w:t>
            </w:r>
            <w:r>
              <w:rPr>
                <w:rStyle w:val="12"/>
                <w:rFonts w:hint="eastAsia" w:ascii="宋体" w:hAnsi="宋体" w:eastAsia="宋体" w:cs="宋体"/>
                <w:color w:val="auto"/>
                <w:spacing w:val="0"/>
                <w:kern w:val="2"/>
                <w:sz w:val="24"/>
                <w:szCs w:val="24"/>
                <w:highlight w:val="none"/>
                <w:lang w:val="en-US" w:eastAsia="zh-CN"/>
              </w:rPr>
              <w:t>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13120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4FFABBA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noWrap w:val="0"/>
            <w:vAlign w:val="top"/>
          </w:tcPr>
          <w:p w14:paraId="244243C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tcBorders>
              <w:top w:val="single" w:color="auto" w:sz="4" w:space="0"/>
              <w:left w:val="single" w:color="auto" w:sz="4" w:space="0"/>
              <w:bottom w:val="single" w:color="auto" w:sz="4" w:space="0"/>
              <w:right w:val="single" w:color="auto" w:sz="4" w:space="0"/>
            </w:tcBorders>
            <w:noWrap w:val="0"/>
            <w:vAlign w:val="top"/>
          </w:tcPr>
          <w:p w14:paraId="7373159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960" w:type="dxa"/>
            <w:tcBorders>
              <w:top w:val="single" w:color="auto" w:sz="4" w:space="0"/>
              <w:left w:val="single" w:color="auto" w:sz="4" w:space="0"/>
              <w:bottom w:val="single" w:color="auto" w:sz="4" w:space="0"/>
              <w:right w:val="single" w:color="auto" w:sz="4" w:space="0"/>
            </w:tcBorders>
            <w:noWrap w:val="0"/>
            <w:vAlign w:val="top"/>
          </w:tcPr>
          <w:p w14:paraId="3B98EA9C">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lang w:val="en-US" w:eastAsia="zh-CN" w:bidi="ar"/>
              </w:rPr>
              <w:t>本项目专门面向中小企业采购，不再执行价格评审优惠的扶持政策，并提供中小企业声明函，所报所有采购标的均为中小微企业制造。本项目对应的中小企业划分标准所属工业行业。</w:t>
            </w:r>
          </w:p>
        </w:tc>
      </w:tr>
      <w:tr w14:paraId="7C1EB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16B5494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696" w:type="dxa"/>
            <w:tcBorders>
              <w:top w:val="single" w:color="auto" w:sz="4" w:space="0"/>
              <w:left w:val="single" w:color="auto" w:sz="4" w:space="0"/>
              <w:bottom w:val="single" w:color="auto" w:sz="4" w:space="0"/>
              <w:right w:val="single" w:color="auto" w:sz="4" w:space="0"/>
            </w:tcBorders>
            <w:noWrap w:val="0"/>
            <w:vAlign w:val="top"/>
          </w:tcPr>
          <w:p w14:paraId="3DE0148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tcBorders>
              <w:top w:val="single" w:color="auto" w:sz="4" w:space="0"/>
              <w:left w:val="single" w:color="auto" w:sz="4" w:space="0"/>
              <w:bottom w:val="single" w:color="auto" w:sz="4" w:space="0"/>
              <w:right w:val="single" w:color="auto" w:sz="4" w:space="0"/>
            </w:tcBorders>
            <w:noWrap w:val="0"/>
            <w:vAlign w:val="top"/>
          </w:tcPr>
          <w:p w14:paraId="42F3EE9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960" w:type="dxa"/>
            <w:tcBorders>
              <w:top w:val="single" w:color="auto" w:sz="4" w:space="0"/>
              <w:left w:val="single" w:color="auto" w:sz="4" w:space="0"/>
              <w:bottom w:val="single" w:color="auto" w:sz="4" w:space="0"/>
              <w:right w:val="single" w:color="auto" w:sz="4" w:space="0"/>
            </w:tcBorders>
            <w:noWrap w:val="0"/>
            <w:vAlign w:val="top"/>
          </w:tcPr>
          <w:p w14:paraId="037B029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p>
        </w:tc>
      </w:tr>
      <w:tr w14:paraId="2DAC3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6" w:type="dxa"/>
            <w:gridSpan w:val="4"/>
            <w:tcBorders>
              <w:top w:val="single" w:color="auto" w:sz="4" w:space="0"/>
              <w:left w:val="single" w:color="auto" w:sz="4" w:space="0"/>
              <w:bottom w:val="single" w:color="auto" w:sz="4" w:space="0"/>
              <w:right w:val="single" w:color="auto" w:sz="4" w:space="0"/>
            </w:tcBorders>
            <w:noWrap w:val="0"/>
            <w:vAlign w:val="center"/>
          </w:tcPr>
          <w:p w14:paraId="16AE04A8">
            <w:pPr>
              <w:keepNext w:val="0"/>
              <w:keepLines w:val="0"/>
              <w:suppressLineNumbers w:val="0"/>
              <w:spacing w:before="0" w:beforeAutospacing="0" w:after="0" w:afterAutospacing="0" w:line="360" w:lineRule="auto"/>
              <w:ind w:left="0" w:right="0" w:firstLine="3373" w:firstLineChars="1400"/>
              <w:rPr>
                <w:rFonts w:hint="eastAsia" w:ascii="宋体" w:hAnsi="宋体" w:eastAsia="宋体" w:cs="宋体"/>
                <w:color w:val="auto"/>
                <w:sz w:val="24"/>
                <w:szCs w:val="24"/>
                <w:highlight w:val="none"/>
              </w:rPr>
            </w:pPr>
            <w:r>
              <w:rPr>
                <w:rFonts w:hint="eastAsia" w:ascii="宋体" w:hAnsi="宋体" w:cs="宋体"/>
                <w:b/>
                <w:color w:val="auto"/>
                <w:sz w:val="24"/>
                <w:szCs w:val="24"/>
                <w:highlight w:val="none"/>
              </w:rPr>
              <w:t>符合性要求</w:t>
            </w:r>
          </w:p>
        </w:tc>
      </w:tr>
      <w:tr w14:paraId="4D6A7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67E057A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E4F1A3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章</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3A80803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7960" w:type="dxa"/>
            <w:tcBorders>
              <w:top w:val="single" w:color="auto" w:sz="4" w:space="0"/>
              <w:left w:val="single" w:color="auto" w:sz="4" w:space="0"/>
              <w:bottom w:val="single" w:color="auto" w:sz="4" w:space="0"/>
              <w:right w:val="single" w:color="auto" w:sz="4" w:space="0"/>
            </w:tcBorders>
            <w:noWrap w:val="0"/>
            <w:vAlign w:val="center"/>
          </w:tcPr>
          <w:p w14:paraId="0A4D20F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6E9A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0466327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EFA429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6254386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7960" w:type="dxa"/>
            <w:tcBorders>
              <w:top w:val="single" w:color="auto" w:sz="4" w:space="0"/>
              <w:left w:val="single" w:color="auto" w:sz="4" w:space="0"/>
              <w:bottom w:val="single" w:color="auto" w:sz="4" w:space="0"/>
              <w:right w:val="single" w:color="auto" w:sz="4" w:space="0"/>
            </w:tcBorders>
            <w:noWrap w:val="0"/>
            <w:vAlign w:val="top"/>
          </w:tcPr>
          <w:p w14:paraId="122B541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投标人的投标文件未按规定的投标截止时间之前提交的，其投标将被拒绝。</w:t>
            </w:r>
          </w:p>
        </w:tc>
      </w:tr>
      <w:tr w14:paraId="3742C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4CFA4C4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34F9E9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7615F47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7960" w:type="dxa"/>
            <w:tcBorders>
              <w:top w:val="single" w:color="auto" w:sz="4" w:space="0"/>
              <w:left w:val="single" w:color="auto" w:sz="4" w:space="0"/>
              <w:bottom w:val="single" w:color="auto" w:sz="4" w:space="0"/>
              <w:right w:val="single" w:color="auto" w:sz="4" w:space="0"/>
            </w:tcBorders>
            <w:noWrap w:val="0"/>
            <w:vAlign w:val="center"/>
          </w:tcPr>
          <w:p w14:paraId="5E7B78F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tc>
      </w:tr>
      <w:tr w14:paraId="0F7ED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0BF8F97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FB4B06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00E05B1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7960" w:type="dxa"/>
            <w:tcBorders>
              <w:top w:val="single" w:color="auto" w:sz="4" w:space="0"/>
              <w:left w:val="single" w:color="auto" w:sz="4" w:space="0"/>
              <w:bottom w:val="single" w:color="auto" w:sz="4" w:space="0"/>
              <w:right w:val="single" w:color="auto" w:sz="4" w:space="0"/>
            </w:tcBorders>
            <w:noWrap w:val="0"/>
            <w:vAlign w:val="center"/>
          </w:tcPr>
          <w:p w14:paraId="50035E8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5A4E261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35708A9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4B023D1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tc>
      </w:tr>
      <w:tr w14:paraId="27DD5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567281F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460FEE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099BA60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7960" w:type="dxa"/>
            <w:tcBorders>
              <w:top w:val="single" w:color="auto" w:sz="4" w:space="0"/>
              <w:left w:val="single" w:color="auto" w:sz="4" w:space="0"/>
              <w:bottom w:val="single" w:color="auto" w:sz="4" w:space="0"/>
              <w:right w:val="single" w:color="auto" w:sz="4" w:space="0"/>
            </w:tcBorders>
            <w:noWrap w:val="0"/>
            <w:vAlign w:val="center"/>
          </w:tcPr>
          <w:p w14:paraId="7EEDE94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tc>
      </w:tr>
      <w:tr w14:paraId="68575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1867395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411451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5B1BBBD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7960" w:type="dxa"/>
            <w:tcBorders>
              <w:top w:val="single" w:color="auto" w:sz="4" w:space="0"/>
              <w:left w:val="single" w:color="auto" w:sz="4" w:space="0"/>
              <w:bottom w:val="single" w:color="auto" w:sz="4" w:space="0"/>
              <w:right w:val="single" w:color="auto" w:sz="4" w:space="0"/>
            </w:tcBorders>
            <w:noWrap w:val="0"/>
            <w:vAlign w:val="center"/>
          </w:tcPr>
          <w:p w14:paraId="420E265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6A6B1EC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1786972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0AC08E2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1112E69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30450F7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4661DAD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642F66F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05C5144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07A973C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3C0F346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52819DE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18EAEC1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5069021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115865E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w:t>
            </w:r>
            <w:r>
              <w:rPr>
                <w:rFonts w:hint="eastAsia" w:ascii="宋体" w:hAnsi="宋体" w:eastAsia="宋体" w:cs="宋体"/>
                <w:color w:val="auto"/>
                <w:sz w:val="24"/>
                <w:szCs w:val="24"/>
                <w:highlight w:val="none"/>
              </w:rPr>
              <w:t>利害关系的人</w:t>
            </w:r>
            <w:r>
              <w:rPr>
                <w:rFonts w:hint="eastAsia" w:ascii="宋体" w:hAnsi="宋体" w:eastAsia="宋体" w:cs="宋体"/>
                <w:color w:val="auto"/>
                <w:sz w:val="24"/>
                <w:szCs w:val="24"/>
                <w:highlight w:val="none"/>
              </w:rPr>
              <w:t>携带两个以上（含两个）投标人的企业资料参与资格审查、领取招标资料，或代表两个以上（含两个）投标人参加招标答疑会、交纳或退还投标保证金、开标的；</w:t>
            </w:r>
          </w:p>
          <w:p w14:paraId="3490E06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tc>
      </w:tr>
      <w:tr w14:paraId="1AC74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6BD2BBC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F68D4F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6261D07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w:t>
            </w:r>
          </w:p>
        </w:tc>
        <w:tc>
          <w:tcPr>
            <w:tcW w:w="7960" w:type="dxa"/>
            <w:tcBorders>
              <w:top w:val="single" w:color="auto" w:sz="4" w:space="0"/>
              <w:left w:val="single" w:color="auto" w:sz="4" w:space="0"/>
              <w:bottom w:val="single" w:color="auto" w:sz="4" w:space="0"/>
              <w:right w:val="single" w:color="auto" w:sz="4" w:space="0"/>
            </w:tcBorders>
            <w:noWrap w:val="0"/>
            <w:vAlign w:val="top"/>
          </w:tcPr>
          <w:p w14:paraId="5502261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tc>
      </w:tr>
      <w:tr w14:paraId="25055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7412BE1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B8AE28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3EC2B04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w:t>
            </w:r>
          </w:p>
        </w:tc>
        <w:tc>
          <w:tcPr>
            <w:tcW w:w="7960" w:type="dxa"/>
            <w:tcBorders>
              <w:top w:val="single" w:color="auto" w:sz="4" w:space="0"/>
              <w:left w:val="single" w:color="auto" w:sz="4" w:space="0"/>
              <w:bottom w:val="single" w:color="auto" w:sz="4" w:space="0"/>
              <w:right w:val="single" w:color="auto" w:sz="4" w:space="0"/>
            </w:tcBorders>
            <w:noWrap w:val="0"/>
            <w:vAlign w:val="top"/>
          </w:tcPr>
          <w:p w14:paraId="0FCC18C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tc>
      </w:tr>
      <w:tr w14:paraId="5A24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7BC8919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28C002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1B592C6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10.2</w:t>
            </w:r>
          </w:p>
        </w:tc>
        <w:tc>
          <w:tcPr>
            <w:tcW w:w="7960" w:type="dxa"/>
            <w:tcBorders>
              <w:top w:val="single" w:color="auto" w:sz="4" w:space="0"/>
              <w:left w:val="single" w:color="auto" w:sz="4" w:space="0"/>
              <w:bottom w:val="single" w:color="auto" w:sz="4" w:space="0"/>
              <w:right w:val="single" w:color="auto" w:sz="4" w:space="0"/>
            </w:tcBorders>
            <w:noWrap w:val="0"/>
            <w:vAlign w:val="center"/>
          </w:tcPr>
          <w:p w14:paraId="7630E55F">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3CF4C5C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40196C0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517042B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374E236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420E9F5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7EE1DE8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1E88362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7FBDCDC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304080A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768BD3B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6502E33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6ED9F27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tc>
      </w:tr>
      <w:tr w14:paraId="0BC0F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723EB2E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C19960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133DD32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7960" w:type="dxa"/>
            <w:tcBorders>
              <w:top w:val="single" w:color="auto" w:sz="4" w:space="0"/>
              <w:left w:val="single" w:color="auto" w:sz="4" w:space="0"/>
              <w:bottom w:val="single" w:color="auto" w:sz="4" w:space="0"/>
              <w:right w:val="single" w:color="auto" w:sz="4" w:space="0"/>
            </w:tcBorders>
            <w:noWrap w:val="0"/>
            <w:vAlign w:val="center"/>
          </w:tcPr>
          <w:p w14:paraId="1F68514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个日历日。有效期不足将导致其投标文件被拒绝。</w:t>
            </w:r>
          </w:p>
        </w:tc>
      </w:tr>
      <w:tr w14:paraId="74D9E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2EF5E6E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B5AADF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3C198C8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7960" w:type="dxa"/>
            <w:tcBorders>
              <w:top w:val="single" w:color="auto" w:sz="4" w:space="0"/>
              <w:left w:val="single" w:color="auto" w:sz="4" w:space="0"/>
              <w:bottom w:val="single" w:color="auto" w:sz="4" w:space="0"/>
              <w:right w:val="single" w:color="auto" w:sz="4" w:space="0"/>
            </w:tcBorders>
            <w:noWrap w:val="0"/>
            <w:vAlign w:val="center"/>
          </w:tcPr>
          <w:p w14:paraId="0EFFB78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12.5未按要求缴交投标保证金的投标，将被视为无效投标。</w:t>
            </w:r>
          </w:p>
        </w:tc>
      </w:tr>
      <w:tr w14:paraId="12E86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7C2AF1E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C2B2FB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09221D0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14.3</w:t>
            </w:r>
          </w:p>
        </w:tc>
        <w:tc>
          <w:tcPr>
            <w:tcW w:w="7960" w:type="dxa"/>
            <w:tcBorders>
              <w:top w:val="single" w:color="auto" w:sz="4" w:space="0"/>
              <w:left w:val="single" w:color="auto" w:sz="4" w:space="0"/>
              <w:bottom w:val="single" w:color="auto" w:sz="4" w:space="0"/>
              <w:right w:val="single" w:color="auto" w:sz="4" w:space="0"/>
            </w:tcBorders>
            <w:noWrap w:val="0"/>
            <w:vAlign w:val="top"/>
          </w:tcPr>
          <w:p w14:paraId="11847CC2">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tc>
      </w:tr>
      <w:tr w14:paraId="10503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0C2AAEC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5AD06F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6E0867E5">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w:t>
            </w:r>
          </w:p>
        </w:tc>
        <w:tc>
          <w:tcPr>
            <w:tcW w:w="7960" w:type="dxa"/>
            <w:tcBorders>
              <w:top w:val="single" w:color="auto" w:sz="4" w:space="0"/>
              <w:left w:val="single" w:color="auto" w:sz="4" w:space="0"/>
              <w:bottom w:val="single" w:color="auto" w:sz="4" w:space="0"/>
              <w:right w:val="single" w:color="auto" w:sz="4" w:space="0"/>
            </w:tcBorders>
            <w:noWrap w:val="0"/>
            <w:vAlign w:val="top"/>
          </w:tcPr>
          <w:p w14:paraId="511359BB">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tc>
      </w:tr>
      <w:tr w14:paraId="0506E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20B0AE9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3B45F9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2BD68BC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w:t>
            </w:r>
          </w:p>
        </w:tc>
        <w:tc>
          <w:tcPr>
            <w:tcW w:w="7960" w:type="dxa"/>
            <w:tcBorders>
              <w:top w:val="single" w:color="auto" w:sz="4" w:space="0"/>
              <w:left w:val="single" w:color="auto" w:sz="4" w:space="0"/>
              <w:bottom w:val="single" w:color="auto" w:sz="4" w:space="0"/>
              <w:right w:val="single" w:color="auto" w:sz="4" w:space="0"/>
            </w:tcBorders>
            <w:noWrap w:val="0"/>
            <w:vAlign w:val="top"/>
          </w:tcPr>
          <w:p w14:paraId="7237F092">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tc>
      </w:tr>
      <w:tr w14:paraId="3B827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1CAEA51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8721CF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0C30CA1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w:t>
            </w:r>
          </w:p>
        </w:tc>
        <w:tc>
          <w:tcPr>
            <w:tcW w:w="7960" w:type="dxa"/>
            <w:tcBorders>
              <w:top w:val="single" w:color="auto" w:sz="4" w:space="0"/>
              <w:left w:val="single" w:color="auto" w:sz="4" w:space="0"/>
              <w:bottom w:val="single" w:color="auto" w:sz="4" w:space="0"/>
              <w:right w:val="single" w:color="auto" w:sz="4" w:space="0"/>
            </w:tcBorders>
            <w:noWrap w:val="0"/>
            <w:vAlign w:val="top"/>
          </w:tcPr>
          <w:p w14:paraId="5170325B">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17.投标人任何试图影响评委会对投标文件的评估、比较或者推荐候选人的行为，都将导致其投标按照无效投标处理，并被没收投标保证金。</w:t>
            </w:r>
          </w:p>
        </w:tc>
      </w:tr>
      <w:tr w14:paraId="637F7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5E7E283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81CAAD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2F26FAC1">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p>
        </w:tc>
        <w:tc>
          <w:tcPr>
            <w:tcW w:w="7960" w:type="dxa"/>
            <w:tcBorders>
              <w:top w:val="single" w:color="auto" w:sz="4" w:space="0"/>
              <w:left w:val="single" w:color="auto" w:sz="4" w:space="0"/>
              <w:bottom w:val="single" w:color="auto" w:sz="4" w:space="0"/>
              <w:right w:val="single" w:color="auto" w:sz="4" w:space="0"/>
            </w:tcBorders>
            <w:noWrap w:val="0"/>
            <w:vAlign w:val="top"/>
          </w:tcPr>
          <w:p w14:paraId="0978D1A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tc>
      </w:tr>
      <w:tr w14:paraId="241F0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5BABEC7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B12214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202E3BA5">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17.3.2</w:t>
            </w:r>
          </w:p>
        </w:tc>
        <w:tc>
          <w:tcPr>
            <w:tcW w:w="7960" w:type="dxa"/>
            <w:tcBorders>
              <w:top w:val="single" w:color="auto" w:sz="4" w:space="0"/>
              <w:left w:val="single" w:color="auto" w:sz="4" w:space="0"/>
              <w:bottom w:val="single" w:color="auto" w:sz="4" w:space="0"/>
              <w:right w:val="single" w:color="auto" w:sz="4" w:space="0"/>
            </w:tcBorders>
            <w:noWrap w:val="0"/>
            <w:vAlign w:val="top"/>
          </w:tcPr>
          <w:p w14:paraId="541AB8E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可根据具体项目的情况对实质性要求作特别的规定。）实质性偏离是指：（1）实质性影响合同的范围、质量和履行；（2）实质性违背招标文件，限制了</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258FA82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4B8ED72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471E248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31511F6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568710C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5CB34AD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19FD795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7197541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tc>
      </w:tr>
      <w:tr w14:paraId="5150C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075CBF9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7563E4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30E5D66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w:t>
            </w:r>
          </w:p>
        </w:tc>
        <w:tc>
          <w:tcPr>
            <w:tcW w:w="7960" w:type="dxa"/>
            <w:tcBorders>
              <w:top w:val="single" w:color="auto" w:sz="4" w:space="0"/>
              <w:left w:val="single" w:color="auto" w:sz="4" w:space="0"/>
              <w:bottom w:val="single" w:color="auto" w:sz="4" w:space="0"/>
              <w:right w:val="single" w:color="auto" w:sz="4" w:space="0"/>
            </w:tcBorders>
            <w:noWrap w:val="0"/>
            <w:vAlign w:val="top"/>
          </w:tcPr>
          <w:p w14:paraId="676E73D4">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tc>
      </w:tr>
      <w:tr w14:paraId="6C4D7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top w:val="single" w:color="auto" w:sz="4" w:space="0"/>
              <w:left w:val="single" w:color="auto" w:sz="4" w:space="0"/>
              <w:bottom w:val="single" w:color="auto" w:sz="4" w:space="0"/>
              <w:right w:val="single" w:color="auto" w:sz="4" w:space="0"/>
            </w:tcBorders>
            <w:noWrap w:val="0"/>
            <w:vAlign w:val="center"/>
          </w:tcPr>
          <w:p w14:paraId="7EF79E9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C7B48D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1DDF11B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17.3.4</w:t>
            </w:r>
          </w:p>
        </w:tc>
        <w:tc>
          <w:tcPr>
            <w:tcW w:w="7960" w:type="dxa"/>
            <w:tcBorders>
              <w:top w:val="single" w:color="auto" w:sz="4" w:space="0"/>
              <w:left w:val="single" w:color="auto" w:sz="4" w:space="0"/>
              <w:bottom w:val="single" w:color="auto" w:sz="4" w:space="0"/>
              <w:right w:val="single" w:color="auto" w:sz="4" w:space="0"/>
            </w:tcBorders>
            <w:noWrap w:val="0"/>
            <w:vAlign w:val="center"/>
          </w:tcPr>
          <w:p w14:paraId="11ED495A">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tc>
      </w:tr>
      <w:tr w14:paraId="25979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27" w:type="dxa"/>
            <w:tcBorders>
              <w:top w:val="single" w:color="auto" w:sz="4" w:space="0"/>
            </w:tcBorders>
            <w:noWrap w:val="0"/>
            <w:vAlign w:val="center"/>
          </w:tcPr>
          <w:p w14:paraId="0F12964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696" w:type="dxa"/>
            <w:tcBorders>
              <w:top w:val="single" w:color="auto" w:sz="4" w:space="0"/>
            </w:tcBorders>
            <w:noWrap w:val="0"/>
            <w:vAlign w:val="center"/>
          </w:tcPr>
          <w:p w14:paraId="2291FC3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tcBorders>
              <w:top w:val="single" w:color="auto" w:sz="4" w:space="0"/>
            </w:tcBorders>
            <w:noWrap w:val="0"/>
            <w:vAlign w:val="center"/>
          </w:tcPr>
          <w:p w14:paraId="0AD0F23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17.3.5</w:t>
            </w:r>
          </w:p>
        </w:tc>
        <w:tc>
          <w:tcPr>
            <w:tcW w:w="7960" w:type="dxa"/>
            <w:tcBorders>
              <w:top w:val="single" w:color="auto" w:sz="4" w:space="0"/>
            </w:tcBorders>
            <w:noWrap w:val="0"/>
            <w:vAlign w:val="center"/>
          </w:tcPr>
          <w:p w14:paraId="490A546E">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w:t>
            </w:r>
            <w:r>
              <w:rPr>
                <w:rFonts w:hint="eastAsia" w:ascii="宋体" w:hAnsi="宋体" w:cs="宋体"/>
                <w:b/>
                <w:color w:val="auto"/>
                <w:sz w:val="24"/>
                <w:szCs w:val="24"/>
                <w:highlight w:val="none"/>
                <w:lang w:eastAsia="zh-CN"/>
              </w:rPr>
              <w:t>采购单位</w:t>
            </w:r>
            <w:r>
              <w:rPr>
                <w:rFonts w:hint="eastAsia" w:ascii="宋体" w:hAnsi="宋体" w:cs="宋体"/>
                <w:b/>
                <w:color w:val="auto"/>
                <w:sz w:val="24"/>
                <w:szCs w:val="24"/>
                <w:highlight w:val="none"/>
              </w:rPr>
              <w:t>（或使用单位）</w:t>
            </w:r>
            <w:r>
              <w:rPr>
                <w:rFonts w:hint="eastAsia" w:ascii="宋体" w:hAnsi="宋体" w:eastAsia="宋体" w:cs="宋体"/>
                <w:b/>
                <w:color w:val="auto"/>
                <w:sz w:val="24"/>
                <w:szCs w:val="24"/>
                <w:highlight w:val="none"/>
              </w:rPr>
              <w:t>、招标代理机构有下列情形之一的，将被认定为</w:t>
            </w:r>
            <w:r>
              <w:rPr>
                <w:rFonts w:hint="eastAsia" w:ascii="宋体" w:hAnsi="宋体" w:cs="宋体"/>
                <w:b/>
                <w:color w:val="auto"/>
                <w:sz w:val="24"/>
                <w:szCs w:val="24"/>
                <w:highlight w:val="none"/>
                <w:lang w:eastAsia="zh-CN"/>
              </w:rPr>
              <w:t>采购单位</w:t>
            </w:r>
            <w:r>
              <w:rPr>
                <w:rFonts w:hint="eastAsia" w:ascii="宋体" w:hAnsi="宋体" w:cs="宋体"/>
                <w:b/>
                <w:color w:val="auto"/>
                <w:sz w:val="24"/>
                <w:szCs w:val="24"/>
                <w:highlight w:val="none"/>
              </w:rPr>
              <w:t>（或使用单位）</w:t>
            </w:r>
            <w:r>
              <w:rPr>
                <w:rFonts w:hint="eastAsia" w:ascii="宋体" w:hAnsi="宋体" w:eastAsia="宋体" w:cs="宋体"/>
                <w:b/>
                <w:color w:val="auto"/>
                <w:sz w:val="24"/>
                <w:szCs w:val="24"/>
                <w:highlight w:val="none"/>
              </w:rPr>
              <w:t>、招标代理机构与投标人有串通投标行为，该投标人投标作无效投标处理：</w:t>
            </w:r>
          </w:p>
          <w:p w14:paraId="60B1A30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66DDA38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2BEB741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5174963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2E6F2C8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4CD3BEA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tc>
      </w:tr>
      <w:tr w14:paraId="31E2F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noWrap w:val="0"/>
            <w:vAlign w:val="center"/>
          </w:tcPr>
          <w:p w14:paraId="4AF8D34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696" w:type="dxa"/>
            <w:noWrap w:val="0"/>
            <w:vAlign w:val="center"/>
          </w:tcPr>
          <w:p w14:paraId="1BFD1CC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noWrap w:val="0"/>
            <w:vAlign w:val="center"/>
          </w:tcPr>
          <w:p w14:paraId="1BDF8C9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17.3.6</w:t>
            </w:r>
          </w:p>
        </w:tc>
        <w:tc>
          <w:tcPr>
            <w:tcW w:w="7960" w:type="dxa"/>
            <w:noWrap w:val="0"/>
            <w:vAlign w:val="center"/>
          </w:tcPr>
          <w:p w14:paraId="03B89A11">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tc>
      </w:tr>
      <w:tr w14:paraId="5D11A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noWrap w:val="0"/>
            <w:vAlign w:val="center"/>
          </w:tcPr>
          <w:p w14:paraId="7C492DD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96" w:type="dxa"/>
            <w:noWrap w:val="0"/>
            <w:vAlign w:val="center"/>
          </w:tcPr>
          <w:p w14:paraId="25C6038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943" w:type="dxa"/>
            <w:noWrap w:val="0"/>
            <w:vAlign w:val="center"/>
          </w:tcPr>
          <w:p w14:paraId="1C8F5B6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19.3</w:t>
            </w:r>
          </w:p>
        </w:tc>
        <w:tc>
          <w:tcPr>
            <w:tcW w:w="7960" w:type="dxa"/>
            <w:noWrap w:val="0"/>
            <w:vAlign w:val="center"/>
          </w:tcPr>
          <w:p w14:paraId="3D35913F">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14:paraId="69036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noWrap w:val="0"/>
            <w:vAlign w:val="center"/>
          </w:tcPr>
          <w:p w14:paraId="52A7CC18">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22</w:t>
            </w:r>
          </w:p>
        </w:tc>
        <w:tc>
          <w:tcPr>
            <w:tcW w:w="696" w:type="dxa"/>
            <w:noWrap w:val="0"/>
            <w:vAlign w:val="center"/>
          </w:tcPr>
          <w:p w14:paraId="40EC6F2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二</w:t>
            </w:r>
          </w:p>
        </w:tc>
        <w:tc>
          <w:tcPr>
            <w:tcW w:w="943" w:type="dxa"/>
            <w:noWrap w:val="0"/>
            <w:vAlign w:val="center"/>
          </w:tcPr>
          <w:p w14:paraId="5E3E556E">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22</w:t>
            </w:r>
          </w:p>
        </w:tc>
        <w:tc>
          <w:tcPr>
            <w:tcW w:w="7960" w:type="dxa"/>
            <w:noWrap w:val="0"/>
            <w:vAlign w:val="center"/>
          </w:tcPr>
          <w:p w14:paraId="2DFF56D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rPr>
              <w:t>投标人一旦中标，应在规定时间内凭中标通知书原件按第四章合同文本要求签订合同，并且凭中标供应商开具的本单位一般纳税人增值税专用发票（13%税点）向厦门万翔网络商务有限公司申请支付相应货款。</w:t>
            </w:r>
            <w:r>
              <w:rPr>
                <w:rFonts w:hint="eastAsia" w:ascii="宋体" w:hAnsi="宋体" w:cs="宋体"/>
                <w:bCs/>
                <w:color w:val="auto"/>
                <w:sz w:val="24"/>
                <w:szCs w:val="24"/>
                <w:highlight w:val="none"/>
              </w:rPr>
              <w:t>否则作无效投标处理。</w:t>
            </w:r>
            <w:r>
              <w:rPr>
                <w:rFonts w:hint="eastAsia" w:ascii="宋体" w:hAnsi="宋体" w:eastAsia="宋体" w:cs="宋体"/>
                <w:color w:val="auto"/>
                <w:sz w:val="24"/>
                <w:szCs w:val="24"/>
                <w:highlight w:val="none"/>
                <w:lang w:val="en-US" w:eastAsia="zh-CN"/>
              </w:rPr>
              <w:t>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w:t>
            </w:r>
            <w:r>
              <w:rPr>
                <w:rFonts w:hint="eastAsia" w:ascii="宋体" w:hAnsi="宋体" w:eastAsia="宋体" w:cs="宋体"/>
                <w:color w:val="auto"/>
                <w:sz w:val="24"/>
                <w:szCs w:val="24"/>
                <w:highlight w:val="none"/>
                <w:lang w:val="en-US" w:eastAsia="zh-CN"/>
              </w:rPr>
              <w:t>如需支付履约保证金的，</w:t>
            </w:r>
            <w:r>
              <w:rPr>
                <w:rFonts w:hint="eastAsia" w:ascii="宋体" w:hAnsi="宋体" w:eastAsia="宋体" w:cs="宋体"/>
                <w:color w:val="auto"/>
                <w:spacing w:val="0"/>
                <w:sz w:val="24"/>
                <w:szCs w:val="24"/>
                <w:highlight w:val="none"/>
              </w:rPr>
              <w:t>按约定比例的50%支付</w:t>
            </w:r>
            <w:r>
              <w:rPr>
                <w:rFonts w:hint="eastAsia" w:ascii="宋体" w:hAnsi="宋体" w:eastAsia="宋体" w:cs="宋体"/>
                <w:color w:val="auto"/>
                <w:sz w:val="24"/>
                <w:szCs w:val="24"/>
                <w:highlight w:val="none"/>
                <w:lang w:val="en-US" w:eastAsia="zh-CN"/>
              </w:rPr>
              <w:t>。</w:t>
            </w:r>
          </w:p>
        </w:tc>
      </w:tr>
      <w:tr w14:paraId="7D828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noWrap w:val="0"/>
            <w:vAlign w:val="center"/>
          </w:tcPr>
          <w:p w14:paraId="47E3BB4B">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23</w:t>
            </w:r>
          </w:p>
        </w:tc>
        <w:tc>
          <w:tcPr>
            <w:tcW w:w="696" w:type="dxa"/>
            <w:noWrap w:val="0"/>
            <w:vAlign w:val="center"/>
          </w:tcPr>
          <w:p w14:paraId="675A847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noWrap w:val="0"/>
            <w:vAlign w:val="center"/>
          </w:tcPr>
          <w:p w14:paraId="54170D0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960" w:type="dxa"/>
            <w:noWrap w:val="0"/>
            <w:vAlign w:val="center"/>
          </w:tcPr>
          <w:p w14:paraId="4D97D30B">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投标人如果为联合体投标，则必须同时满足下列要求，否则</w:t>
            </w:r>
            <w:r>
              <w:rPr>
                <w:rFonts w:hint="eastAsia" w:ascii="宋体" w:hAnsi="宋体" w:eastAsia="宋体" w:cs="宋体"/>
                <w:color w:val="auto"/>
                <w:sz w:val="24"/>
                <w:szCs w:val="24"/>
                <w:highlight w:val="none"/>
              </w:rPr>
              <w:t>该投标人的投标将按照无效投标处理</w:t>
            </w:r>
            <w:r>
              <w:rPr>
                <w:rFonts w:hint="eastAsia" w:ascii="宋体" w:hAnsi="宋体" w:eastAsia="宋体" w:cs="宋体"/>
                <w:bCs/>
                <w:color w:val="auto"/>
                <w:sz w:val="24"/>
                <w:szCs w:val="24"/>
                <w:highlight w:val="none"/>
              </w:rPr>
              <w:t>：</w:t>
            </w:r>
          </w:p>
          <w:p w14:paraId="399C9767">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①在开标一览表中注明是否联合体投标、联合体组成单位；</w:t>
            </w:r>
          </w:p>
          <w:p w14:paraId="52FD4BA7">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②在投标文件中提供各方盖章签署的共同投标协议扫描件。</w:t>
            </w:r>
          </w:p>
        </w:tc>
      </w:tr>
      <w:tr w14:paraId="0EB0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noWrap w:val="0"/>
            <w:vAlign w:val="center"/>
          </w:tcPr>
          <w:p w14:paraId="49271CE4">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24</w:t>
            </w:r>
          </w:p>
        </w:tc>
        <w:tc>
          <w:tcPr>
            <w:tcW w:w="696" w:type="dxa"/>
            <w:noWrap w:val="0"/>
            <w:vAlign w:val="center"/>
          </w:tcPr>
          <w:p w14:paraId="49D18CF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noWrap w:val="0"/>
            <w:vAlign w:val="center"/>
          </w:tcPr>
          <w:p w14:paraId="40BA909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960" w:type="dxa"/>
            <w:noWrap w:val="0"/>
            <w:vAlign w:val="center"/>
          </w:tcPr>
          <w:p w14:paraId="50B32FCE">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投标文件中不得附有</w:t>
            </w:r>
            <w:r>
              <w:rPr>
                <w:rFonts w:hint="eastAsia" w:ascii="宋体" w:hAnsi="宋体" w:cs="宋体"/>
                <w:bCs/>
                <w:color w:val="auto"/>
                <w:sz w:val="24"/>
                <w:szCs w:val="24"/>
                <w:highlight w:val="none"/>
                <w:lang w:eastAsia="zh-CN"/>
              </w:rPr>
              <w:t>采购单位</w:t>
            </w:r>
            <w:r>
              <w:rPr>
                <w:rFonts w:hint="eastAsia" w:ascii="宋体" w:hAnsi="宋体" w:cs="宋体"/>
                <w:bCs/>
                <w:color w:val="auto"/>
                <w:sz w:val="24"/>
                <w:szCs w:val="24"/>
                <w:highlight w:val="none"/>
              </w:rPr>
              <w:t>（或使用单位）</w:t>
            </w:r>
            <w:r>
              <w:rPr>
                <w:rFonts w:hint="eastAsia" w:ascii="宋体" w:hAnsi="宋体" w:eastAsia="宋体" w:cs="宋体"/>
                <w:bCs/>
                <w:color w:val="auto"/>
                <w:sz w:val="24"/>
                <w:szCs w:val="24"/>
                <w:highlight w:val="none"/>
              </w:rPr>
              <w:t>不能接受的条款，</w:t>
            </w:r>
            <w:r>
              <w:rPr>
                <w:rFonts w:hint="eastAsia" w:ascii="宋体" w:hAnsi="宋体" w:eastAsia="宋体" w:cs="宋体"/>
                <w:color w:val="auto"/>
                <w:sz w:val="24"/>
                <w:szCs w:val="24"/>
                <w:highlight w:val="none"/>
              </w:rPr>
              <w:t>否则该投标人的投标将按照无效投标处理。</w:t>
            </w:r>
          </w:p>
        </w:tc>
      </w:tr>
      <w:tr w14:paraId="0A761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noWrap w:val="0"/>
            <w:vAlign w:val="center"/>
          </w:tcPr>
          <w:p w14:paraId="63607B68">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25</w:t>
            </w:r>
          </w:p>
        </w:tc>
        <w:tc>
          <w:tcPr>
            <w:tcW w:w="696" w:type="dxa"/>
            <w:noWrap w:val="0"/>
            <w:vAlign w:val="center"/>
          </w:tcPr>
          <w:p w14:paraId="13C83341">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p>
        </w:tc>
        <w:tc>
          <w:tcPr>
            <w:tcW w:w="943" w:type="dxa"/>
            <w:noWrap w:val="0"/>
            <w:vAlign w:val="center"/>
          </w:tcPr>
          <w:p w14:paraId="0AB759B4">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960" w:type="dxa"/>
            <w:noWrap w:val="0"/>
            <w:vAlign w:val="center"/>
          </w:tcPr>
          <w:p w14:paraId="747DB282">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本项目以合同包为单位，对于每个合同包，投标人必须完整地提供合同包要求的所有货物和服务，否则</w:t>
            </w:r>
            <w:r>
              <w:rPr>
                <w:rFonts w:hint="eastAsia" w:ascii="宋体" w:hAnsi="宋体" w:eastAsia="宋体" w:cs="宋体"/>
                <w:color w:val="auto"/>
                <w:sz w:val="24"/>
                <w:szCs w:val="24"/>
                <w:highlight w:val="none"/>
              </w:rPr>
              <w:t>该投标人针对该合同包的投标将按照无效投标处理</w:t>
            </w:r>
            <w:r>
              <w:rPr>
                <w:rFonts w:hint="eastAsia" w:ascii="宋体" w:hAnsi="宋体" w:eastAsia="宋体" w:cs="宋体"/>
                <w:bCs/>
                <w:color w:val="auto"/>
                <w:sz w:val="24"/>
                <w:szCs w:val="24"/>
                <w:highlight w:val="none"/>
              </w:rPr>
              <w:t>。</w:t>
            </w:r>
          </w:p>
        </w:tc>
      </w:tr>
      <w:tr w14:paraId="7468C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noWrap w:val="0"/>
            <w:vAlign w:val="center"/>
          </w:tcPr>
          <w:p w14:paraId="31932089">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26</w:t>
            </w:r>
          </w:p>
        </w:tc>
        <w:tc>
          <w:tcPr>
            <w:tcW w:w="696" w:type="dxa"/>
            <w:noWrap w:val="0"/>
            <w:vAlign w:val="center"/>
          </w:tcPr>
          <w:p w14:paraId="74F274FF">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943" w:type="dxa"/>
            <w:noWrap w:val="0"/>
            <w:vAlign w:val="center"/>
          </w:tcPr>
          <w:p w14:paraId="7D1B8647">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960" w:type="dxa"/>
            <w:noWrap w:val="0"/>
            <w:vAlign w:val="center"/>
          </w:tcPr>
          <w:p w14:paraId="2AC17504">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投标人应对其在投标文件中声明的关于中小企业事项的真实性负责，存在以下情形之一的，经评标委员会查实，应认定存在虚假的：</w:t>
            </w:r>
          </w:p>
          <w:p w14:paraId="25E79397">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（1）投标人（包括联合体任一方）不符合“工信部联企业[2011]300号”规定的中小企业标准的；</w:t>
            </w:r>
          </w:p>
          <w:p w14:paraId="532B09FD">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（2）投标货物全部或部分为使用大型企业注册商标的货物的；</w:t>
            </w:r>
          </w:p>
          <w:p w14:paraId="4C38E0AD">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（3）投标文件中标明的小型或微型企业产品的制造商不符合“工信部联企业[2011]300号”规定的小型和微型企业标准的。</w:t>
            </w:r>
          </w:p>
          <w:p w14:paraId="61622F93">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在评审过程中发现上述虚假情形的，该投标人的投标作无效投标处理。</w:t>
            </w:r>
          </w:p>
        </w:tc>
      </w:tr>
      <w:tr w14:paraId="74654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noWrap w:val="0"/>
            <w:vAlign w:val="center"/>
          </w:tcPr>
          <w:p w14:paraId="4D11BCDC">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27</w:t>
            </w:r>
          </w:p>
        </w:tc>
        <w:tc>
          <w:tcPr>
            <w:tcW w:w="696" w:type="dxa"/>
            <w:noWrap w:val="0"/>
            <w:vAlign w:val="center"/>
          </w:tcPr>
          <w:p w14:paraId="49A792F8">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943" w:type="dxa"/>
            <w:noWrap w:val="0"/>
            <w:vAlign w:val="center"/>
          </w:tcPr>
          <w:p w14:paraId="540B23D9">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960" w:type="dxa"/>
            <w:noWrap w:val="0"/>
            <w:vAlign w:val="center"/>
          </w:tcPr>
          <w:p w14:paraId="1553B117">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color w:val="auto"/>
                <w:sz w:val="24"/>
                <w:szCs w:val="24"/>
                <w:highlight w:val="none"/>
              </w:rPr>
            </w:pPr>
            <w:r>
              <w:rPr>
                <w:rFonts w:hint="eastAsia" w:ascii="宋体" w:hAnsi="宋体" w:cs="宋体"/>
                <w:bCs/>
                <w:color w:val="auto"/>
                <w:sz w:val="24"/>
                <w:szCs w:val="24"/>
                <w:highlight w:val="none"/>
                <w:lang w:eastAsia="zh-CN"/>
              </w:rPr>
              <w:t>全免</w:t>
            </w:r>
            <w:r>
              <w:rPr>
                <w:rFonts w:hint="eastAsia" w:ascii="宋体" w:hAnsi="宋体" w:eastAsia="宋体" w:cs="宋体"/>
                <w:bCs/>
                <w:color w:val="auto"/>
                <w:sz w:val="24"/>
                <w:szCs w:val="24"/>
                <w:highlight w:val="none"/>
              </w:rPr>
              <w:t>交纳投标保证金的投标人未按照招标文件格式要求在投标文件中提供《中小企业声明函》的，其投标作无效投标处理。</w:t>
            </w:r>
          </w:p>
        </w:tc>
      </w:tr>
      <w:tr w14:paraId="28AF7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bottom w:val="single" w:color="auto" w:sz="4" w:space="0"/>
            </w:tcBorders>
            <w:noWrap w:val="0"/>
            <w:vAlign w:val="center"/>
          </w:tcPr>
          <w:p w14:paraId="40556D38">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28</w:t>
            </w:r>
          </w:p>
        </w:tc>
        <w:tc>
          <w:tcPr>
            <w:tcW w:w="696" w:type="dxa"/>
            <w:tcBorders>
              <w:bottom w:val="single" w:color="auto" w:sz="4" w:space="0"/>
            </w:tcBorders>
            <w:noWrap w:val="0"/>
            <w:vAlign w:val="center"/>
          </w:tcPr>
          <w:p w14:paraId="251D5921">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943" w:type="dxa"/>
            <w:tcBorders>
              <w:bottom w:val="single" w:color="auto" w:sz="4" w:space="0"/>
            </w:tcBorders>
            <w:noWrap w:val="0"/>
            <w:vAlign w:val="center"/>
          </w:tcPr>
          <w:p w14:paraId="30BF5605">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960" w:type="dxa"/>
            <w:tcBorders>
              <w:bottom w:val="single" w:color="auto" w:sz="4" w:space="0"/>
            </w:tcBorders>
            <w:noWrap w:val="0"/>
            <w:vAlign w:val="center"/>
          </w:tcPr>
          <w:p w14:paraId="18B3C2D7">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投标人应按照招标文件格式要求在投标文件中提供《廉洁承诺书》原件扫描件（投标人为联合体的，联合体各方均应提供《廉洁承诺书》原件扫描件），否则作无效投标处理。</w:t>
            </w:r>
          </w:p>
        </w:tc>
      </w:tr>
      <w:tr w14:paraId="34130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bottom w:val="single" w:color="auto" w:sz="4" w:space="0"/>
            </w:tcBorders>
            <w:noWrap w:val="0"/>
            <w:vAlign w:val="center"/>
          </w:tcPr>
          <w:p w14:paraId="526A8747">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29</w:t>
            </w:r>
          </w:p>
        </w:tc>
        <w:tc>
          <w:tcPr>
            <w:tcW w:w="696" w:type="dxa"/>
            <w:tcBorders>
              <w:bottom w:val="single" w:color="auto" w:sz="4" w:space="0"/>
            </w:tcBorders>
            <w:noWrap w:val="0"/>
            <w:vAlign w:val="center"/>
          </w:tcPr>
          <w:p w14:paraId="6F758765">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943" w:type="dxa"/>
            <w:tcBorders>
              <w:bottom w:val="single" w:color="auto" w:sz="4" w:space="0"/>
            </w:tcBorders>
            <w:noWrap w:val="0"/>
            <w:vAlign w:val="center"/>
          </w:tcPr>
          <w:p w14:paraId="5A98DA65">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960" w:type="dxa"/>
            <w:tcBorders>
              <w:bottom w:val="single" w:color="auto" w:sz="4" w:space="0"/>
            </w:tcBorders>
            <w:noWrap w:val="0"/>
            <w:vAlign w:val="center"/>
          </w:tcPr>
          <w:p w14:paraId="0A2426B1">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其他不满足招标文件要求经评标委员会认定须作无效投标处理的。</w:t>
            </w:r>
          </w:p>
        </w:tc>
      </w:tr>
      <w:tr w14:paraId="3C700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bottom w:val="single" w:color="auto" w:sz="4" w:space="0"/>
            </w:tcBorders>
            <w:noWrap w:val="0"/>
            <w:vAlign w:val="center"/>
          </w:tcPr>
          <w:p w14:paraId="182E7C1E">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30</w:t>
            </w:r>
          </w:p>
        </w:tc>
        <w:tc>
          <w:tcPr>
            <w:tcW w:w="696" w:type="dxa"/>
            <w:tcBorders>
              <w:bottom w:val="single" w:color="auto" w:sz="4" w:space="0"/>
            </w:tcBorders>
            <w:noWrap w:val="0"/>
            <w:vAlign w:val="center"/>
          </w:tcPr>
          <w:p w14:paraId="3A6323D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tcBorders>
              <w:bottom w:val="single" w:color="auto" w:sz="4" w:space="0"/>
            </w:tcBorders>
            <w:noWrap w:val="0"/>
            <w:vAlign w:val="center"/>
          </w:tcPr>
          <w:p w14:paraId="5CAD1BD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960" w:type="dxa"/>
            <w:tcBorders>
              <w:bottom w:val="single" w:color="auto" w:sz="4" w:space="0"/>
            </w:tcBorders>
            <w:noWrap w:val="0"/>
            <w:vAlign w:val="center"/>
          </w:tcPr>
          <w:p w14:paraId="0C93D4B6">
            <w:pPr>
              <w:pStyle w:val="15"/>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textAlignment w:val="auto"/>
              <w:rPr>
                <w:rFonts w:hint="eastAsia" w:ascii="宋体" w:hAnsi="宋体" w:eastAsia="宋体" w:cs="宋体"/>
                <w:color w:val="auto"/>
                <w:sz w:val="24"/>
                <w:szCs w:val="24"/>
                <w:highlight w:val="none"/>
              </w:rPr>
            </w:pPr>
            <w:r>
              <w:rPr>
                <w:rFonts w:hint="eastAsia" w:hAnsi="宋体" w:eastAsia="宋体" w:cs="宋体"/>
                <w:color w:val="auto"/>
                <w:highlight w:val="none"/>
                <w:lang w:val="en-US" w:eastAsia="zh-CN"/>
              </w:rPr>
              <w:t>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123号）规定的包装要求，其他包装需求详见招标文件具体规定。采购单位、中标供应商双方签订合同及验收环节，应包含上述包装要求的条款。</w:t>
            </w:r>
          </w:p>
        </w:tc>
      </w:tr>
      <w:tr w14:paraId="2A18D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bottom w:val="single" w:color="auto" w:sz="4" w:space="0"/>
            </w:tcBorders>
            <w:noWrap w:val="0"/>
            <w:vAlign w:val="center"/>
          </w:tcPr>
          <w:p w14:paraId="75F626DF">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31</w:t>
            </w:r>
          </w:p>
        </w:tc>
        <w:tc>
          <w:tcPr>
            <w:tcW w:w="696" w:type="dxa"/>
            <w:tcBorders>
              <w:bottom w:val="single" w:color="auto" w:sz="4" w:space="0"/>
            </w:tcBorders>
            <w:noWrap w:val="0"/>
            <w:vAlign w:val="center"/>
          </w:tcPr>
          <w:p w14:paraId="6DC046D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tcBorders>
              <w:bottom w:val="single" w:color="auto" w:sz="4" w:space="0"/>
            </w:tcBorders>
            <w:noWrap w:val="0"/>
            <w:vAlign w:val="center"/>
          </w:tcPr>
          <w:p w14:paraId="0D00795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960" w:type="dxa"/>
            <w:tcBorders>
              <w:bottom w:val="single" w:color="auto" w:sz="4" w:space="0"/>
            </w:tcBorders>
            <w:noWrap w:val="0"/>
            <w:vAlign w:val="center"/>
          </w:tcPr>
          <w:p w14:paraId="48080DD9">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default" w:ascii="宋体" w:hAnsi="宋体" w:eastAsia="宋体" w:cs="宋体"/>
                <w:b/>
                <w:color w:val="auto"/>
                <w:sz w:val="24"/>
                <w:szCs w:val="24"/>
                <w:highlight w:val="none"/>
              </w:rPr>
              <w:t>★8.投标人在递交投标文件时应提供以下样品：按附件二的要求提供样品。</w:t>
            </w:r>
            <w:r>
              <w:rPr>
                <w:rFonts w:hint="eastAsia" w:ascii="宋体" w:hAnsi="宋体" w:eastAsia="宋体" w:cs="宋体"/>
                <w:b/>
                <w:bCs/>
                <w:color w:val="auto"/>
                <w:kern w:val="2"/>
                <w:sz w:val="24"/>
                <w:szCs w:val="24"/>
                <w:highlight w:val="none"/>
                <w:lang w:val="en-US" w:eastAsia="zh-CN" w:bidi="ar-SA"/>
              </w:rPr>
              <w:t>提供的样品不符合采购内容要求的结构、外观造型或提供样品不齐全的（不接受 3D 打印小样），按无效投标处理。</w:t>
            </w:r>
          </w:p>
        </w:tc>
      </w:tr>
      <w:tr w14:paraId="3F0F7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bottom w:val="single" w:color="auto" w:sz="4" w:space="0"/>
            </w:tcBorders>
            <w:noWrap w:val="0"/>
            <w:vAlign w:val="center"/>
          </w:tcPr>
          <w:p w14:paraId="6FCDCD35">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32</w:t>
            </w:r>
          </w:p>
        </w:tc>
        <w:tc>
          <w:tcPr>
            <w:tcW w:w="696" w:type="dxa"/>
            <w:tcBorders>
              <w:bottom w:val="single" w:color="auto" w:sz="4" w:space="0"/>
            </w:tcBorders>
            <w:noWrap w:val="0"/>
            <w:vAlign w:val="center"/>
          </w:tcPr>
          <w:p w14:paraId="3482B48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tcBorders>
              <w:bottom w:val="single" w:color="auto" w:sz="4" w:space="0"/>
            </w:tcBorders>
            <w:noWrap w:val="0"/>
            <w:vAlign w:val="center"/>
          </w:tcPr>
          <w:p w14:paraId="3321D6D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960" w:type="dxa"/>
            <w:tcBorders>
              <w:bottom w:val="single" w:color="auto" w:sz="4" w:space="0"/>
            </w:tcBorders>
            <w:noWrap w:val="0"/>
            <w:vAlign w:val="center"/>
          </w:tcPr>
          <w:p w14:paraId="6D3CB68D">
            <w:pPr>
              <w:pStyle w:val="16"/>
              <w:keepNext w:val="0"/>
              <w:keepLines w:val="0"/>
              <w:widowControl/>
              <w:suppressLineNumbers w:val="0"/>
              <w:spacing w:before="0" w:beforeAutospacing="0" w:after="0" w:afterAutospacing="0" w:line="360" w:lineRule="auto"/>
              <w:ind w:left="0" w:right="0" w:firstLine="481"/>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9.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w:t>
            </w:r>
            <w:r>
              <w:rPr>
                <w:rFonts w:hint="eastAsia" w:ascii="宋体" w:hAnsi="宋体" w:eastAsia="宋体" w:cs="宋体"/>
                <w:b/>
                <w:color w:val="auto"/>
                <w:sz w:val="24"/>
                <w:szCs w:val="24"/>
                <w:highlight w:val="none"/>
                <w:lang w:val="en-US" w:eastAsia="zh-CN"/>
              </w:rPr>
              <w:t>投标</w:t>
            </w:r>
            <w:r>
              <w:rPr>
                <w:rFonts w:ascii="宋体" w:hAnsi="宋体" w:eastAsia="宋体" w:cs="宋体"/>
                <w:b/>
                <w:color w:val="auto"/>
                <w:sz w:val="24"/>
                <w:szCs w:val="24"/>
                <w:highlight w:val="none"/>
              </w:rPr>
              <w:t>截止时间前，送至</w:t>
            </w:r>
            <w:r>
              <w:rPr>
                <w:rFonts w:ascii="宋体" w:hAnsi="宋体" w:eastAsia="宋体" w:cs="宋体"/>
                <w:b/>
                <w:color w:val="auto"/>
                <w:sz w:val="24"/>
                <w:szCs w:val="24"/>
                <w:highlight w:val="none"/>
                <w:u w:val="single"/>
              </w:rPr>
              <w:t>厦门市湖里区云顶北路842号厦门市政务服务中心负一楼样品间</w:t>
            </w:r>
            <w:r>
              <w:rPr>
                <w:rFonts w:ascii="宋体" w:hAnsi="宋体" w:eastAsia="宋体" w:cs="宋体"/>
                <w:b/>
                <w:color w:val="auto"/>
                <w:sz w:val="24"/>
                <w:szCs w:val="24"/>
                <w:highlight w:val="none"/>
              </w:rPr>
              <w:t>。</w:t>
            </w:r>
          </w:p>
          <w:p w14:paraId="1DEB10C2">
            <w:pPr>
              <w:pStyle w:val="16"/>
              <w:keepNext w:val="0"/>
              <w:keepLines w:val="0"/>
              <w:widowControl/>
              <w:suppressLineNumbers w:val="0"/>
              <w:spacing w:before="0" w:beforeAutospacing="0" w:after="0" w:afterAutospacing="0" w:line="360" w:lineRule="auto"/>
              <w:ind w:left="0" w:right="0" w:firstLine="481"/>
              <w:jc w:val="both"/>
              <w:rPr>
                <w:rFonts w:ascii="宋体" w:hAnsi="宋体" w:eastAsia="宋体" w:cs="宋体"/>
                <w:b/>
                <w:color w:val="auto"/>
                <w:sz w:val="24"/>
                <w:szCs w:val="24"/>
                <w:highlight w:val="none"/>
              </w:rPr>
            </w:pPr>
            <w:r>
              <w:rPr>
                <w:rFonts w:ascii="宋体" w:hAnsi="宋体" w:eastAsia="宋体" w:cs="宋体"/>
                <w:b/>
                <w:color w:val="auto"/>
                <w:sz w:val="24"/>
                <w:szCs w:val="24"/>
                <w:highlight w:val="none"/>
              </w:rPr>
              <w:t>注：</w:t>
            </w:r>
          </w:p>
          <w:p w14:paraId="33065979">
            <w:pPr>
              <w:pStyle w:val="16"/>
              <w:keepNext w:val="0"/>
              <w:keepLines w:val="0"/>
              <w:widowControl/>
              <w:suppressLineNumbers w:val="0"/>
              <w:spacing w:before="0" w:beforeAutospacing="0" w:after="0" w:afterAutospacing="0" w:line="360" w:lineRule="auto"/>
              <w:ind w:left="0" w:right="0" w:firstLine="481"/>
              <w:jc w:val="both"/>
              <w:rPr>
                <w:rFonts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1.</w:t>
            </w:r>
            <w:r>
              <w:rPr>
                <w:rFonts w:ascii="宋体" w:hAnsi="宋体" w:eastAsia="宋体" w:cs="宋体"/>
                <w:b/>
                <w:color w:val="auto"/>
                <w:sz w:val="24"/>
                <w:szCs w:val="24"/>
                <w:highlight w:val="none"/>
              </w:rPr>
              <w:t>投标人提供的成品样需在投标截止时间前，在样品室摆放到位。</w:t>
            </w:r>
          </w:p>
          <w:p w14:paraId="5BFA4A48">
            <w:pPr>
              <w:pStyle w:val="16"/>
              <w:keepNext w:val="0"/>
              <w:keepLines w:val="0"/>
              <w:widowControl/>
              <w:suppressLineNumbers w:val="0"/>
              <w:spacing w:before="0" w:beforeAutospacing="0" w:after="0" w:afterAutospacing="0" w:line="360" w:lineRule="auto"/>
              <w:ind w:left="0" w:right="0" w:firstLine="481"/>
              <w:rPr>
                <w:rFonts w:hint="eastAsia" w:ascii="宋体" w:hAnsi="宋体" w:eastAsia="宋体" w:cs="宋体"/>
                <w:color w:val="auto"/>
                <w:sz w:val="24"/>
                <w:szCs w:val="24"/>
                <w:highlight w:val="none"/>
              </w:rPr>
            </w:pPr>
            <w:r>
              <w:rPr>
                <w:rFonts w:hint="eastAsia" w:ascii="宋体" w:hAnsi="宋体" w:eastAsia="宋体" w:cs="宋体"/>
                <w:b/>
                <w:bCs w:val="0"/>
                <w:color w:val="auto"/>
                <w:sz w:val="24"/>
                <w:szCs w:val="24"/>
                <w:highlight w:val="none"/>
                <w:lang w:val="en-US" w:eastAsia="zh-CN"/>
              </w:rPr>
              <w:t>2.由于市行政服务中心地下停车库不让限高&gt;2米车辆进入，因此送样品的车辆限高≦2米。不遵守此规定，后果自负。</w:t>
            </w:r>
          </w:p>
        </w:tc>
      </w:tr>
      <w:tr w14:paraId="651C5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bottom w:val="single" w:color="auto" w:sz="4" w:space="0"/>
            </w:tcBorders>
            <w:noWrap w:val="0"/>
            <w:vAlign w:val="center"/>
          </w:tcPr>
          <w:p w14:paraId="012F1D0B">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33</w:t>
            </w:r>
          </w:p>
        </w:tc>
        <w:tc>
          <w:tcPr>
            <w:tcW w:w="696" w:type="dxa"/>
            <w:tcBorders>
              <w:bottom w:val="single" w:color="auto" w:sz="4" w:space="0"/>
            </w:tcBorders>
            <w:noWrap w:val="0"/>
            <w:vAlign w:val="center"/>
          </w:tcPr>
          <w:p w14:paraId="067965D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tcBorders>
              <w:bottom w:val="single" w:color="auto" w:sz="4" w:space="0"/>
            </w:tcBorders>
            <w:noWrap w:val="0"/>
            <w:vAlign w:val="center"/>
          </w:tcPr>
          <w:p w14:paraId="3B7061A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960" w:type="dxa"/>
            <w:tcBorders>
              <w:bottom w:val="single" w:color="auto" w:sz="4" w:space="0"/>
            </w:tcBorders>
            <w:noWrap w:val="0"/>
            <w:vAlign w:val="center"/>
          </w:tcPr>
          <w:p w14:paraId="3242BF0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default" w:ascii="宋体" w:hAnsi="宋体" w:eastAsia="宋体" w:cs="宋体"/>
                <w:b/>
                <w:color w:val="auto"/>
                <w:sz w:val="24"/>
                <w:szCs w:val="24"/>
                <w:highlight w:val="none"/>
              </w:rPr>
              <w:t>★8.投标人必须在投标文件中</w:t>
            </w:r>
            <w:r>
              <w:rPr>
                <w:rFonts w:hint="eastAsia" w:ascii="宋体" w:hAnsi="宋体" w:eastAsia="宋体" w:cs="宋体"/>
                <w:b/>
                <w:color w:val="auto"/>
                <w:sz w:val="24"/>
                <w:szCs w:val="24"/>
                <w:highlight w:val="none"/>
                <w:lang w:eastAsia="zh-CN"/>
              </w:rPr>
              <w:t>书面承诺函（</w:t>
            </w:r>
            <w:r>
              <w:rPr>
                <w:rFonts w:hint="eastAsia" w:ascii="宋体" w:hAnsi="宋体" w:eastAsia="宋体" w:cs="宋体"/>
                <w:b/>
                <w:color w:val="auto"/>
                <w:sz w:val="24"/>
                <w:szCs w:val="24"/>
                <w:highlight w:val="none"/>
                <w:lang w:val="en-US" w:eastAsia="zh-CN"/>
              </w:rPr>
              <w:t>格式自拟</w:t>
            </w:r>
            <w:r>
              <w:rPr>
                <w:rFonts w:hint="eastAsia" w:ascii="宋体" w:hAnsi="宋体" w:eastAsia="宋体" w:cs="宋体"/>
                <w:b/>
                <w:color w:val="auto"/>
                <w:sz w:val="24"/>
                <w:szCs w:val="24"/>
                <w:highlight w:val="none"/>
                <w:lang w:eastAsia="zh-CN"/>
              </w:rPr>
              <w:t>）</w:t>
            </w:r>
            <w:r>
              <w:rPr>
                <w:rFonts w:hint="default" w:ascii="宋体" w:hAnsi="宋体" w:eastAsia="宋体" w:cs="宋体"/>
                <w:b/>
                <w:color w:val="auto"/>
                <w:sz w:val="24"/>
                <w:szCs w:val="24"/>
                <w:highlight w:val="none"/>
              </w:rPr>
              <w:t>：一旦中标，在生产本次采购家具的过程中，邀请</w:t>
            </w:r>
            <w:r>
              <w:rPr>
                <w:rFonts w:hint="eastAsia" w:ascii="宋体" w:hAnsi="宋体" w:eastAsia="宋体" w:cs="宋体"/>
                <w:b/>
                <w:color w:val="auto"/>
                <w:sz w:val="24"/>
                <w:szCs w:val="24"/>
                <w:highlight w:val="none"/>
                <w:lang w:eastAsia="zh-CN"/>
              </w:rPr>
              <w:t>使用单位</w:t>
            </w:r>
            <w:r>
              <w:rPr>
                <w:rFonts w:hint="default" w:ascii="宋体" w:hAnsi="宋体" w:eastAsia="宋体" w:cs="宋体"/>
                <w:b/>
                <w:color w:val="auto"/>
                <w:sz w:val="24"/>
                <w:szCs w:val="24"/>
                <w:highlight w:val="none"/>
              </w:rPr>
              <w:t>代表到工厂对产品从进料、开胚、上漆、成型等一系列生产程序进行检查、监督；</w:t>
            </w:r>
            <w:r>
              <w:rPr>
                <w:rFonts w:hint="eastAsia" w:ascii="宋体" w:hAnsi="宋体" w:eastAsia="宋体" w:cs="宋体"/>
                <w:b/>
                <w:color w:val="auto"/>
                <w:sz w:val="24"/>
                <w:szCs w:val="24"/>
                <w:highlight w:val="none"/>
                <w:lang w:eastAsia="zh-CN"/>
              </w:rPr>
              <w:t>使用单位</w:t>
            </w:r>
            <w:r>
              <w:rPr>
                <w:rFonts w:hint="default" w:ascii="宋体" w:hAnsi="宋体" w:eastAsia="宋体" w:cs="宋体"/>
                <w:b/>
                <w:color w:val="auto"/>
                <w:sz w:val="24"/>
                <w:szCs w:val="24"/>
                <w:highlight w:val="none"/>
              </w:rPr>
              <w:t>根据合同进度可以采用书面函件形式要求投标人对生产情况合理改进，投标人应予书面答复，并制定完整的整改措施。</w:t>
            </w:r>
          </w:p>
        </w:tc>
      </w:tr>
      <w:tr w14:paraId="2536B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bottom w:val="single" w:color="auto" w:sz="4" w:space="0"/>
            </w:tcBorders>
            <w:noWrap w:val="0"/>
            <w:vAlign w:val="center"/>
          </w:tcPr>
          <w:p w14:paraId="6DB2B06F">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34</w:t>
            </w:r>
          </w:p>
        </w:tc>
        <w:tc>
          <w:tcPr>
            <w:tcW w:w="696" w:type="dxa"/>
            <w:tcBorders>
              <w:bottom w:val="single" w:color="auto" w:sz="4" w:space="0"/>
            </w:tcBorders>
            <w:noWrap w:val="0"/>
            <w:vAlign w:val="center"/>
          </w:tcPr>
          <w:p w14:paraId="5AC1199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tcBorders>
              <w:bottom w:val="single" w:color="auto" w:sz="4" w:space="0"/>
            </w:tcBorders>
            <w:noWrap w:val="0"/>
            <w:vAlign w:val="center"/>
          </w:tcPr>
          <w:p w14:paraId="6053460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960" w:type="dxa"/>
            <w:tcBorders>
              <w:bottom w:val="single" w:color="auto" w:sz="4" w:space="0"/>
            </w:tcBorders>
            <w:noWrap w:val="0"/>
            <w:vAlign w:val="center"/>
          </w:tcPr>
          <w:p w14:paraId="3AC8CDB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default" w:ascii="宋体" w:hAnsi="宋体" w:eastAsia="宋体" w:cs="宋体"/>
                <w:b/>
                <w:color w:val="auto"/>
                <w:sz w:val="24"/>
                <w:szCs w:val="24"/>
                <w:highlight w:val="none"/>
              </w:rPr>
              <w:t>★10.投标人必须在投标文件中</w:t>
            </w:r>
            <w:r>
              <w:rPr>
                <w:rFonts w:hint="eastAsia" w:ascii="宋体" w:hAnsi="宋体" w:eastAsia="宋体" w:cs="宋体"/>
                <w:b/>
                <w:color w:val="auto"/>
                <w:sz w:val="24"/>
                <w:szCs w:val="24"/>
                <w:highlight w:val="none"/>
                <w:lang w:eastAsia="zh-CN"/>
              </w:rPr>
              <w:t>书面承诺函（</w:t>
            </w:r>
            <w:r>
              <w:rPr>
                <w:rFonts w:hint="eastAsia" w:ascii="宋体" w:hAnsi="宋体" w:eastAsia="宋体" w:cs="宋体"/>
                <w:b/>
                <w:color w:val="auto"/>
                <w:sz w:val="24"/>
                <w:szCs w:val="24"/>
                <w:highlight w:val="none"/>
                <w:lang w:val="en-US" w:eastAsia="zh-CN"/>
              </w:rPr>
              <w:t>格式自拟</w:t>
            </w:r>
            <w:r>
              <w:rPr>
                <w:rFonts w:hint="eastAsia" w:ascii="宋体" w:hAnsi="宋体" w:eastAsia="宋体" w:cs="宋体"/>
                <w:b/>
                <w:color w:val="auto"/>
                <w:sz w:val="24"/>
                <w:szCs w:val="24"/>
                <w:highlight w:val="none"/>
                <w:lang w:eastAsia="zh-CN"/>
              </w:rPr>
              <w:t>）</w:t>
            </w:r>
            <w:r>
              <w:rPr>
                <w:rFonts w:hint="default" w:ascii="宋体" w:hAnsi="宋体" w:eastAsia="宋体" w:cs="宋体"/>
                <w:b/>
                <w:color w:val="auto"/>
                <w:sz w:val="24"/>
                <w:szCs w:val="24"/>
                <w:highlight w:val="none"/>
              </w:rPr>
              <w:t>：一旦</w:t>
            </w:r>
            <w:r>
              <w:rPr>
                <w:rFonts w:hint="eastAsia" w:ascii="宋体" w:hAnsi="宋体" w:eastAsia="宋体" w:cs="宋体"/>
                <w:b/>
                <w:color w:val="auto"/>
                <w:sz w:val="24"/>
                <w:szCs w:val="24"/>
                <w:highlight w:val="none"/>
                <w:lang w:val="en-US" w:eastAsia="zh-CN"/>
              </w:rPr>
              <w:t>中标</w:t>
            </w:r>
            <w:r>
              <w:rPr>
                <w:rFonts w:hint="default" w:ascii="宋体" w:hAnsi="宋体" w:eastAsia="宋体" w:cs="宋体"/>
                <w:b/>
                <w:color w:val="auto"/>
                <w:sz w:val="24"/>
                <w:szCs w:val="24"/>
                <w:highlight w:val="none"/>
              </w:rPr>
              <w:t>，在保证按招标文件中要求提供的产品数量进行供货外，还应保证能够免费提供足够的样品供</w:t>
            </w:r>
            <w:r>
              <w:rPr>
                <w:rFonts w:hint="eastAsia" w:ascii="宋体" w:hAnsi="宋体" w:eastAsia="宋体" w:cs="宋体"/>
                <w:b/>
                <w:color w:val="auto"/>
                <w:sz w:val="24"/>
                <w:szCs w:val="24"/>
                <w:highlight w:val="none"/>
                <w:lang w:eastAsia="zh-CN"/>
              </w:rPr>
              <w:t>使用单位</w:t>
            </w:r>
            <w:r>
              <w:rPr>
                <w:rFonts w:hint="default" w:ascii="宋体" w:hAnsi="宋体" w:eastAsia="宋体" w:cs="宋体"/>
                <w:b/>
                <w:color w:val="auto"/>
                <w:sz w:val="24"/>
                <w:szCs w:val="24"/>
                <w:highlight w:val="none"/>
              </w:rPr>
              <w:t>邀请相关部门对其在封闭式的环境中进行开放性的检测；如经检测家具环保等指标达不到国家以及招标文件中的要求，投标人应按成交价的2倍金额赔偿给</w:t>
            </w:r>
            <w:r>
              <w:rPr>
                <w:rFonts w:hint="eastAsia" w:ascii="宋体" w:hAnsi="宋体" w:eastAsia="宋体" w:cs="宋体"/>
                <w:b/>
                <w:color w:val="auto"/>
                <w:sz w:val="24"/>
                <w:szCs w:val="24"/>
                <w:highlight w:val="none"/>
                <w:lang w:eastAsia="zh-CN"/>
              </w:rPr>
              <w:t>使用单位，</w:t>
            </w:r>
            <w:r>
              <w:rPr>
                <w:rFonts w:hint="eastAsia" w:ascii="宋体" w:hAnsi="宋体" w:eastAsia="宋体" w:cs="宋体"/>
                <w:b/>
                <w:color w:val="auto"/>
                <w:sz w:val="24"/>
                <w:szCs w:val="24"/>
                <w:highlight w:val="none"/>
                <w:lang w:val="en-US" w:eastAsia="zh-CN"/>
              </w:rPr>
              <w:t>并要求更换符合要求的产品</w:t>
            </w:r>
            <w:r>
              <w:rPr>
                <w:rFonts w:hint="default" w:ascii="宋体" w:hAnsi="宋体" w:eastAsia="宋体" w:cs="宋体"/>
                <w:b/>
                <w:color w:val="auto"/>
                <w:sz w:val="24"/>
                <w:szCs w:val="24"/>
                <w:highlight w:val="none"/>
              </w:rPr>
              <w:t>。</w:t>
            </w:r>
          </w:p>
        </w:tc>
      </w:tr>
      <w:tr w14:paraId="59806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bottom w:val="single" w:color="auto" w:sz="4" w:space="0"/>
            </w:tcBorders>
            <w:noWrap w:val="0"/>
            <w:vAlign w:val="center"/>
          </w:tcPr>
          <w:p w14:paraId="74A4DD82">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35</w:t>
            </w:r>
          </w:p>
        </w:tc>
        <w:tc>
          <w:tcPr>
            <w:tcW w:w="696" w:type="dxa"/>
            <w:tcBorders>
              <w:bottom w:val="single" w:color="auto" w:sz="4" w:space="0"/>
            </w:tcBorders>
            <w:noWrap w:val="0"/>
            <w:vAlign w:val="center"/>
          </w:tcPr>
          <w:p w14:paraId="182380A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tcBorders>
              <w:bottom w:val="single" w:color="auto" w:sz="4" w:space="0"/>
            </w:tcBorders>
            <w:noWrap w:val="0"/>
            <w:vAlign w:val="center"/>
          </w:tcPr>
          <w:p w14:paraId="7133B29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960" w:type="dxa"/>
            <w:tcBorders>
              <w:bottom w:val="single" w:color="auto" w:sz="4" w:space="0"/>
            </w:tcBorders>
            <w:noWrap w:val="0"/>
            <w:vAlign w:val="center"/>
          </w:tcPr>
          <w:p w14:paraId="28C06A6E">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default" w:ascii="宋体" w:hAnsi="宋体" w:eastAsia="宋体" w:cs="宋体"/>
                <w:b/>
                <w:color w:val="auto"/>
                <w:sz w:val="24"/>
                <w:szCs w:val="24"/>
                <w:highlight w:val="none"/>
              </w:rPr>
              <w:t>★1.投标人应在投标文件中提供详细的质量保证期及售后服务方案承诺，并加盖单位公章。承诺至少应包含以下内容①所有货物质量保证期至少为</w:t>
            </w:r>
            <w:r>
              <w:rPr>
                <w:rFonts w:hint="eastAsia" w:ascii="宋体" w:hAnsi="宋体" w:eastAsia="宋体" w:cs="宋体"/>
                <w:b/>
                <w:color w:val="auto"/>
                <w:sz w:val="24"/>
                <w:szCs w:val="24"/>
                <w:highlight w:val="none"/>
                <w:lang w:val="en-US" w:eastAsia="zh-CN"/>
              </w:rPr>
              <w:t>5</w:t>
            </w:r>
            <w:r>
              <w:rPr>
                <w:rFonts w:hint="default" w:ascii="宋体" w:hAnsi="宋体" w:eastAsia="宋体" w:cs="宋体"/>
                <w:b/>
                <w:color w:val="auto"/>
                <w:sz w:val="24"/>
                <w:szCs w:val="24"/>
                <w:highlight w:val="none"/>
              </w:rPr>
              <w:t>年，自最终验收合格之日起算；②所有货物如无特别指明售后服务要求, 投标人到现场的售后服务及技术支持响应时间不能超过2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w:t>
            </w:r>
            <w:r>
              <w:rPr>
                <w:rFonts w:hint="eastAsia" w:ascii="宋体" w:hAnsi="宋体" w:eastAsia="宋体" w:cs="宋体"/>
                <w:b/>
                <w:color w:val="auto"/>
                <w:sz w:val="24"/>
                <w:szCs w:val="24"/>
                <w:highlight w:val="none"/>
                <w:lang w:val="en-US" w:eastAsia="zh-CN"/>
              </w:rPr>
              <w:t>一</w:t>
            </w:r>
            <w:r>
              <w:rPr>
                <w:rFonts w:hint="default" w:ascii="宋体" w:hAnsi="宋体" w:eastAsia="宋体" w:cs="宋体"/>
                <w:b/>
                <w:color w:val="auto"/>
                <w:sz w:val="24"/>
                <w:szCs w:val="24"/>
                <w:highlight w:val="none"/>
              </w:rPr>
              <w:t>名专人与</w:t>
            </w:r>
            <w:r>
              <w:rPr>
                <w:rFonts w:hint="eastAsia" w:ascii="宋体" w:hAnsi="宋体" w:eastAsia="宋体" w:cs="宋体"/>
                <w:b/>
                <w:color w:val="auto"/>
                <w:sz w:val="24"/>
                <w:szCs w:val="24"/>
                <w:highlight w:val="none"/>
                <w:lang w:eastAsia="zh-CN"/>
              </w:rPr>
              <w:t>使用单位</w:t>
            </w:r>
            <w:r>
              <w:rPr>
                <w:rFonts w:hint="default" w:ascii="宋体" w:hAnsi="宋体" w:eastAsia="宋体" w:cs="宋体"/>
                <w:b/>
                <w:color w:val="auto"/>
                <w:sz w:val="24"/>
                <w:szCs w:val="24"/>
                <w:highlight w:val="none"/>
              </w:rPr>
              <w:t>建立服务联系。</w:t>
            </w:r>
          </w:p>
        </w:tc>
      </w:tr>
      <w:tr w14:paraId="2CBFB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noWrap w:val="0"/>
            <w:vAlign w:val="top"/>
          </w:tcPr>
          <w:p w14:paraId="5C7A363E">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36</w:t>
            </w:r>
          </w:p>
        </w:tc>
        <w:tc>
          <w:tcPr>
            <w:tcW w:w="696" w:type="dxa"/>
            <w:noWrap w:val="0"/>
            <w:vAlign w:val="top"/>
          </w:tcPr>
          <w:p w14:paraId="62B9C19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noWrap w:val="0"/>
            <w:vAlign w:val="top"/>
          </w:tcPr>
          <w:p w14:paraId="2C7CBCE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960" w:type="dxa"/>
            <w:noWrap w:val="0"/>
            <w:vAlign w:val="top"/>
          </w:tcPr>
          <w:p w14:paraId="3EB16754">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default" w:ascii="宋体" w:hAnsi="宋体" w:eastAsia="宋体" w:cs="宋体"/>
                <w:b/>
                <w:color w:val="auto"/>
                <w:sz w:val="24"/>
                <w:szCs w:val="24"/>
                <w:highlight w:val="none"/>
              </w:rPr>
              <w:t>★1.投标人须以人民币报价且报价总价应含货物费、运至</w:t>
            </w:r>
            <w:r>
              <w:rPr>
                <w:rFonts w:hint="eastAsia" w:ascii="宋体" w:hAnsi="宋体" w:eastAsia="宋体" w:cs="宋体"/>
                <w:b/>
                <w:color w:val="auto"/>
                <w:sz w:val="24"/>
                <w:szCs w:val="24"/>
                <w:highlight w:val="none"/>
                <w:lang w:eastAsia="zh-CN"/>
              </w:rPr>
              <w:t>使用单位</w:t>
            </w:r>
            <w:r>
              <w:rPr>
                <w:rFonts w:hint="default" w:ascii="宋体" w:hAnsi="宋体" w:eastAsia="宋体" w:cs="宋体"/>
                <w:b/>
                <w:color w:val="auto"/>
                <w:sz w:val="24"/>
                <w:szCs w:val="24"/>
                <w:highlight w:val="none"/>
              </w:rPr>
              <w:t>指定地点的运输费、保险费和伴随服务费（包括产品检验检测）、安装调试（包括安装所需的辅材、配件等）费用、税收及售后服务等一切与完成本项目相关的费用，报价方式为指定目的地价。一旦中标，合同价款将不予调整。</w:t>
            </w:r>
            <w:r>
              <w:rPr>
                <w:rFonts w:hint="eastAsia" w:ascii="宋体" w:hAnsi="宋体" w:eastAsia="宋体" w:cs="宋体"/>
                <w:b/>
                <w:color w:val="auto"/>
                <w:sz w:val="24"/>
                <w:szCs w:val="24"/>
                <w:highlight w:val="none"/>
                <w:lang w:eastAsia="zh-CN"/>
              </w:rPr>
              <w:t>采购单位</w:t>
            </w:r>
            <w:r>
              <w:rPr>
                <w:rFonts w:hint="default" w:ascii="宋体" w:hAnsi="宋体" w:eastAsia="宋体" w:cs="宋体"/>
                <w:b/>
                <w:color w:val="auto"/>
                <w:sz w:val="24"/>
                <w:szCs w:val="24"/>
                <w:highlight w:val="none"/>
              </w:rPr>
              <w:t>不接受有选择的报价。</w:t>
            </w:r>
          </w:p>
        </w:tc>
      </w:tr>
      <w:tr w14:paraId="6BA19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noWrap w:val="0"/>
            <w:vAlign w:val="top"/>
          </w:tcPr>
          <w:p w14:paraId="5740BDD4">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37</w:t>
            </w:r>
          </w:p>
        </w:tc>
        <w:tc>
          <w:tcPr>
            <w:tcW w:w="696" w:type="dxa"/>
            <w:noWrap w:val="0"/>
            <w:vAlign w:val="top"/>
          </w:tcPr>
          <w:p w14:paraId="3C86862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noWrap w:val="0"/>
            <w:vAlign w:val="top"/>
          </w:tcPr>
          <w:p w14:paraId="39E60B9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960" w:type="dxa"/>
            <w:noWrap w:val="0"/>
            <w:vAlign w:val="top"/>
          </w:tcPr>
          <w:p w14:paraId="7D4C308A">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default" w:ascii="宋体" w:hAnsi="宋体" w:eastAsia="宋体" w:cs="宋体"/>
                <w:b/>
                <w:color w:val="auto"/>
                <w:sz w:val="24"/>
                <w:szCs w:val="24"/>
                <w:highlight w:val="none"/>
              </w:rPr>
              <w:t>★1.本项目最高限价为人民币</w:t>
            </w:r>
            <w:r>
              <w:rPr>
                <w:rFonts w:hint="eastAsia" w:ascii="宋体" w:hAnsi="宋体" w:eastAsia="宋体" w:cs="宋体"/>
                <w:b/>
                <w:color w:val="auto"/>
                <w:sz w:val="24"/>
                <w:szCs w:val="24"/>
                <w:highlight w:val="none"/>
                <w:lang w:val="en-US" w:eastAsia="zh-CN"/>
              </w:rPr>
              <w:t>255万</w:t>
            </w:r>
            <w:r>
              <w:rPr>
                <w:rFonts w:hint="default" w:ascii="宋体" w:hAnsi="宋体" w:eastAsia="宋体" w:cs="宋体"/>
                <w:b/>
                <w:color w:val="auto"/>
                <w:sz w:val="24"/>
                <w:szCs w:val="24"/>
                <w:highlight w:val="none"/>
                <w:lang w:val="en-US" w:eastAsia="zh-CN"/>
              </w:rPr>
              <w:t>元</w:t>
            </w:r>
            <w:r>
              <w:rPr>
                <w:rFonts w:hint="default" w:ascii="宋体" w:hAnsi="宋体" w:eastAsia="宋体" w:cs="宋体"/>
                <w:b/>
                <w:color w:val="auto"/>
                <w:sz w:val="24"/>
                <w:szCs w:val="24"/>
                <w:highlight w:val="none"/>
              </w:rPr>
              <w:t>，投标人不得超过最高限价，否则将做无效投标处理。</w:t>
            </w:r>
          </w:p>
        </w:tc>
      </w:tr>
      <w:tr w14:paraId="43BEA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noWrap w:val="0"/>
            <w:vAlign w:val="top"/>
          </w:tcPr>
          <w:p w14:paraId="6671FD2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38</w:t>
            </w:r>
          </w:p>
        </w:tc>
        <w:tc>
          <w:tcPr>
            <w:tcW w:w="696" w:type="dxa"/>
            <w:noWrap w:val="0"/>
            <w:vAlign w:val="top"/>
          </w:tcPr>
          <w:p w14:paraId="4F73423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noWrap w:val="0"/>
            <w:vAlign w:val="top"/>
          </w:tcPr>
          <w:p w14:paraId="6F1781E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960" w:type="dxa"/>
            <w:noWrap w:val="0"/>
            <w:vAlign w:val="top"/>
          </w:tcPr>
          <w:p w14:paraId="15E77653">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default" w:ascii="宋体" w:hAnsi="宋体" w:eastAsia="宋体" w:cs="宋体"/>
                <w:b/>
                <w:color w:val="auto"/>
                <w:sz w:val="24"/>
                <w:szCs w:val="24"/>
                <w:highlight w:val="none"/>
              </w:rPr>
              <w:t>★7.</w:t>
            </w:r>
            <w:r>
              <w:rPr>
                <w:rFonts w:hint="eastAsia" w:ascii="宋体" w:hAnsi="宋体" w:eastAsia="宋体" w:cs="宋体"/>
                <w:b/>
                <w:color w:val="auto"/>
                <w:sz w:val="24"/>
                <w:szCs w:val="24"/>
                <w:highlight w:val="none"/>
                <w:lang w:val="en-US" w:eastAsia="zh-CN"/>
              </w:rPr>
              <w:t>交货</w:t>
            </w:r>
            <w:r>
              <w:rPr>
                <w:rFonts w:hint="default" w:ascii="宋体" w:hAnsi="宋体" w:eastAsia="宋体" w:cs="宋体"/>
                <w:b/>
                <w:color w:val="auto"/>
                <w:sz w:val="24"/>
                <w:szCs w:val="24"/>
                <w:highlight w:val="none"/>
              </w:rPr>
              <w:t>期：合同签订之日起</w:t>
            </w:r>
            <w:r>
              <w:rPr>
                <w:rFonts w:hint="eastAsia" w:ascii="宋体" w:hAnsi="宋体" w:eastAsia="宋体" w:cs="宋体"/>
                <w:b/>
                <w:color w:val="auto"/>
                <w:sz w:val="24"/>
                <w:szCs w:val="24"/>
                <w:highlight w:val="none"/>
                <w:lang w:val="en-US" w:eastAsia="zh-CN"/>
              </w:rPr>
              <w:t>6</w:t>
            </w:r>
            <w:r>
              <w:rPr>
                <w:rFonts w:hint="default" w:ascii="宋体" w:hAnsi="宋体" w:eastAsia="宋体" w:cs="宋体"/>
                <w:b/>
                <w:color w:val="auto"/>
                <w:sz w:val="24"/>
                <w:szCs w:val="24"/>
                <w:highlight w:val="none"/>
              </w:rPr>
              <w:t>0个日历日内（含交货及安装）。</w:t>
            </w:r>
          </w:p>
        </w:tc>
      </w:tr>
      <w:tr w14:paraId="684DB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noWrap w:val="0"/>
            <w:vAlign w:val="top"/>
          </w:tcPr>
          <w:p w14:paraId="6EFDF9F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39</w:t>
            </w:r>
          </w:p>
        </w:tc>
        <w:tc>
          <w:tcPr>
            <w:tcW w:w="696" w:type="dxa"/>
            <w:noWrap w:val="0"/>
            <w:vAlign w:val="top"/>
          </w:tcPr>
          <w:p w14:paraId="2D1D3E2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noWrap w:val="0"/>
            <w:vAlign w:val="top"/>
          </w:tcPr>
          <w:p w14:paraId="530B1F6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960" w:type="dxa"/>
            <w:noWrap w:val="0"/>
            <w:vAlign w:val="top"/>
          </w:tcPr>
          <w:p w14:paraId="66776438">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default" w:ascii="宋体" w:hAnsi="宋体" w:eastAsia="宋体" w:cs="宋体"/>
                <w:b/>
                <w:color w:val="auto"/>
                <w:sz w:val="24"/>
                <w:szCs w:val="24"/>
                <w:highlight w:val="none"/>
              </w:rPr>
              <w:t>★9.投标人须在投标文件中作出响应：投标人若中标，未按工期内完成交付使用并最终验收合格，每逾期一天，罚款为合同总额的千分之一。</w:t>
            </w:r>
          </w:p>
        </w:tc>
      </w:tr>
      <w:tr w14:paraId="1165C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noWrap w:val="0"/>
            <w:vAlign w:val="top"/>
          </w:tcPr>
          <w:p w14:paraId="3EBB9047">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40</w:t>
            </w:r>
          </w:p>
        </w:tc>
        <w:tc>
          <w:tcPr>
            <w:tcW w:w="696" w:type="dxa"/>
            <w:noWrap w:val="0"/>
            <w:vAlign w:val="top"/>
          </w:tcPr>
          <w:p w14:paraId="1AB9D55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noWrap w:val="0"/>
            <w:vAlign w:val="top"/>
          </w:tcPr>
          <w:p w14:paraId="07C30E7B">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样品</w:t>
            </w:r>
          </w:p>
        </w:tc>
        <w:tc>
          <w:tcPr>
            <w:tcW w:w="7960" w:type="dxa"/>
            <w:noWrap w:val="0"/>
            <w:vAlign w:val="top"/>
          </w:tcPr>
          <w:p w14:paraId="6BFE5A2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学生课椅</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b/>
                <w:bCs/>
                <w:i w:val="0"/>
                <w:iCs w:val="0"/>
                <w:color w:val="auto"/>
                <w:kern w:val="0"/>
                <w:sz w:val="20"/>
                <w:szCs w:val="20"/>
                <w:highlight w:val="none"/>
                <w:u w:val="none"/>
                <w:lang w:val="en-US" w:eastAsia="zh-CN" w:bidi="ar"/>
              </w:rPr>
              <w:t>★（4）椅子前脚垫、椅子后脚垫、椅子高度升降件：</w:t>
            </w:r>
          </w:p>
          <w:p w14:paraId="19F32BA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0"/>
                <w:szCs w:val="20"/>
                <w:highlight w:val="none"/>
                <w:u w:val="none"/>
                <w:lang w:val="en-US" w:eastAsia="zh-CN" w:bidi="ar"/>
              </w:rPr>
              <w:t xml:space="preserve"> ①椅子前脚垫：采用PP塑料一次压制成型，外露面须全部有晒纹工艺处理（外露面若无全部有晒纹工艺处理将视样品为3D打印），高度52（±5）mm。</w:t>
            </w:r>
          </w:p>
          <w:p w14:paraId="2C12948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0"/>
                <w:szCs w:val="20"/>
                <w:highlight w:val="none"/>
                <w:u w:val="none"/>
                <w:lang w:val="en-US" w:eastAsia="zh-CN" w:bidi="ar"/>
              </w:rPr>
              <w:t>②椅子后脚垫：采用PP塑料一体压铸成型，外露面须全部有晒纹工艺处理（外露面若无全部有晒纹工艺处理将视样品为3D打印），高度90（±5）mm。</w:t>
            </w:r>
          </w:p>
          <w:p w14:paraId="1A71E1FF">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bCs/>
                <w:i w:val="0"/>
                <w:iCs w:val="0"/>
                <w:color w:val="auto"/>
                <w:kern w:val="0"/>
                <w:sz w:val="20"/>
                <w:szCs w:val="20"/>
                <w:highlight w:val="none"/>
                <w:u w:val="none"/>
                <w:lang w:val="en-US" w:eastAsia="zh-CN" w:bidi="ar"/>
              </w:rPr>
              <w:t>③椅子高度调节件：采用PP工程塑料板一体压铸成型，外露面须全部有晒纹工艺处理（外露面若无全部有晒纹工艺处理将视样品为3D打印），高度85(±5)mm。</w:t>
            </w:r>
          </w:p>
        </w:tc>
      </w:tr>
      <w:tr w14:paraId="0A00A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noWrap w:val="0"/>
            <w:vAlign w:val="top"/>
          </w:tcPr>
          <w:p w14:paraId="77F649E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41</w:t>
            </w:r>
          </w:p>
        </w:tc>
        <w:tc>
          <w:tcPr>
            <w:tcW w:w="696" w:type="dxa"/>
            <w:noWrap w:val="0"/>
            <w:vAlign w:val="top"/>
          </w:tcPr>
          <w:p w14:paraId="68D3D25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noWrap w:val="0"/>
            <w:vAlign w:val="top"/>
          </w:tcPr>
          <w:p w14:paraId="00075E0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样品</w:t>
            </w:r>
          </w:p>
        </w:tc>
        <w:tc>
          <w:tcPr>
            <w:tcW w:w="7960" w:type="dxa"/>
            <w:noWrap w:val="0"/>
            <w:vAlign w:val="top"/>
          </w:tcPr>
          <w:p w14:paraId="5A5E3EBE">
            <w:pPr>
              <w:keepNext w:val="0"/>
              <w:keepLines w:val="0"/>
              <w:suppressLineNumbers w:val="0"/>
              <w:spacing w:before="0" w:beforeAutospacing="0" w:after="0" w:afterAutospacing="0" w:line="360" w:lineRule="auto"/>
              <w:ind w:left="0" w:right="0"/>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椅子带进料口部分的椅背（进料口残留部分长度≥5mm）</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b/>
                <w:bCs/>
                <w:i w:val="0"/>
                <w:iCs w:val="0"/>
                <w:color w:val="auto"/>
                <w:kern w:val="0"/>
                <w:sz w:val="20"/>
                <w:szCs w:val="20"/>
                <w:highlight w:val="none"/>
                <w:u w:val="none"/>
                <w:lang w:val="en-US" w:eastAsia="zh-CN" w:bidi="ar"/>
              </w:rPr>
              <w:t>★上部分宽度345 mm（±5mm），下部分宽度405 mm（±5mm）。</w:t>
            </w:r>
          </w:p>
        </w:tc>
      </w:tr>
      <w:tr w14:paraId="62999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noWrap w:val="0"/>
            <w:vAlign w:val="top"/>
          </w:tcPr>
          <w:p w14:paraId="2309899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42</w:t>
            </w:r>
          </w:p>
        </w:tc>
        <w:tc>
          <w:tcPr>
            <w:tcW w:w="696" w:type="dxa"/>
            <w:noWrap w:val="0"/>
            <w:vAlign w:val="top"/>
          </w:tcPr>
          <w:p w14:paraId="14DE16E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noWrap w:val="0"/>
            <w:vAlign w:val="top"/>
          </w:tcPr>
          <w:p w14:paraId="6C73B89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样品</w:t>
            </w:r>
          </w:p>
        </w:tc>
        <w:tc>
          <w:tcPr>
            <w:tcW w:w="7960" w:type="dxa"/>
            <w:noWrap w:val="0"/>
            <w:vAlign w:val="top"/>
          </w:tcPr>
          <w:p w14:paraId="1ED0E0F2">
            <w:pPr>
              <w:keepNext w:val="0"/>
              <w:keepLines w:val="0"/>
              <w:suppressLineNumbers w:val="0"/>
              <w:spacing w:before="0" w:beforeAutospacing="0" w:after="0" w:afterAutospacing="0" w:line="360" w:lineRule="auto"/>
              <w:ind w:left="0" w:right="0"/>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学习课桌桌面板</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b/>
                <w:bCs/>
                <w:i w:val="0"/>
                <w:iCs w:val="0"/>
                <w:color w:val="auto"/>
                <w:kern w:val="0"/>
                <w:sz w:val="20"/>
                <w:szCs w:val="20"/>
                <w:highlight w:val="none"/>
                <w:u w:val="none"/>
                <w:lang w:val="en-US" w:eastAsia="zh-CN" w:bidi="ar"/>
              </w:rPr>
              <w:t>★桌面板尺寸：面板左右宽度≧660(±5)mm，前后深度达到</w:t>
            </w:r>
            <w:r>
              <w:rPr>
                <w:rFonts w:hint="eastAsia" w:ascii="宋体" w:hAnsi="宋体" w:cs="宋体"/>
                <w:b/>
                <w:bCs/>
                <w:i w:val="0"/>
                <w:iCs w:val="0"/>
                <w:color w:val="auto"/>
                <w:kern w:val="0"/>
                <w:sz w:val="20"/>
                <w:szCs w:val="20"/>
                <w:highlight w:val="none"/>
                <w:u w:val="none"/>
                <w:lang w:val="en-US" w:eastAsia="zh-CN" w:bidi="ar"/>
              </w:rPr>
              <w:t>455</w:t>
            </w:r>
            <w:r>
              <w:rPr>
                <w:rFonts w:hint="eastAsia" w:ascii="宋体" w:hAnsi="宋体" w:eastAsia="宋体" w:cs="宋体"/>
                <w:b/>
                <w:bCs/>
                <w:i w:val="0"/>
                <w:iCs w:val="0"/>
                <w:color w:val="auto"/>
                <w:kern w:val="0"/>
                <w:sz w:val="20"/>
                <w:szCs w:val="20"/>
                <w:highlight w:val="none"/>
                <w:u w:val="none"/>
                <w:lang w:val="en-US" w:eastAsia="zh-CN" w:bidi="ar"/>
              </w:rPr>
              <w:t>(±5)mm。</w:t>
            </w:r>
          </w:p>
        </w:tc>
      </w:tr>
      <w:tr w14:paraId="39C4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noWrap w:val="0"/>
            <w:vAlign w:val="top"/>
          </w:tcPr>
          <w:p w14:paraId="07C8ED8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43</w:t>
            </w:r>
          </w:p>
        </w:tc>
        <w:tc>
          <w:tcPr>
            <w:tcW w:w="696" w:type="dxa"/>
            <w:noWrap w:val="0"/>
            <w:vAlign w:val="top"/>
          </w:tcPr>
          <w:p w14:paraId="11FFA5E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noWrap w:val="0"/>
            <w:vAlign w:val="top"/>
          </w:tcPr>
          <w:p w14:paraId="03ED6D9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样品</w:t>
            </w:r>
          </w:p>
        </w:tc>
        <w:tc>
          <w:tcPr>
            <w:tcW w:w="7960" w:type="dxa"/>
            <w:noWrap w:val="0"/>
            <w:vAlign w:val="top"/>
          </w:tcPr>
          <w:p w14:paraId="767A7739">
            <w:pPr>
              <w:keepNext w:val="0"/>
              <w:keepLines w:val="0"/>
              <w:suppressLineNumbers w:val="0"/>
              <w:spacing w:before="0" w:beforeAutospacing="0" w:after="0" w:afterAutospacing="0" w:line="360" w:lineRule="auto"/>
              <w:ind w:left="0" w:right="0"/>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防滑板小样</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b/>
                <w:bCs/>
                <w:i w:val="0"/>
                <w:iCs w:val="0"/>
                <w:color w:val="auto"/>
                <w:kern w:val="0"/>
                <w:sz w:val="20"/>
                <w:szCs w:val="20"/>
                <w:highlight w:val="none"/>
                <w:u w:val="none"/>
                <w:lang w:val="en-US" w:eastAsia="zh-CN" w:bidi="ar"/>
              </w:rPr>
              <w:t>★规格为宽400（±3）mm×深65（±3）mm×高27（±2）mm；</w:t>
            </w:r>
          </w:p>
        </w:tc>
      </w:tr>
      <w:tr w14:paraId="024A9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noWrap w:val="0"/>
            <w:vAlign w:val="top"/>
          </w:tcPr>
          <w:p w14:paraId="34C151C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44</w:t>
            </w:r>
          </w:p>
        </w:tc>
        <w:tc>
          <w:tcPr>
            <w:tcW w:w="696" w:type="dxa"/>
            <w:noWrap w:val="0"/>
            <w:vAlign w:val="top"/>
          </w:tcPr>
          <w:p w14:paraId="0C70C3F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noWrap w:val="0"/>
            <w:vAlign w:val="top"/>
          </w:tcPr>
          <w:p w14:paraId="1AA6FCB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样品</w:t>
            </w:r>
          </w:p>
        </w:tc>
        <w:tc>
          <w:tcPr>
            <w:tcW w:w="7960" w:type="dxa"/>
            <w:noWrap w:val="0"/>
            <w:vAlign w:val="top"/>
          </w:tcPr>
          <w:p w14:paraId="0487DDF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木塑衣柜门板小样</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b/>
                <w:bCs/>
                <w:i w:val="0"/>
                <w:iCs w:val="0"/>
                <w:color w:val="auto"/>
                <w:kern w:val="0"/>
                <w:sz w:val="20"/>
                <w:szCs w:val="20"/>
                <w:highlight w:val="none"/>
                <w:u w:val="none"/>
                <w:lang w:val="en-US" w:eastAsia="zh-CN" w:bidi="ar"/>
              </w:rPr>
              <w:t>②★木塑衣柜门板采用一次模压注塑成型，四周边部一次注塑成型且无接缝，自带内凹式整体成型拉手设计且锁孔的地方带拉手，门板铰链安装位置采用一次模压注塑成型杯孔。</w:t>
            </w:r>
          </w:p>
          <w:p w14:paraId="4CF3A270">
            <w:pPr>
              <w:keepNext w:val="0"/>
              <w:keepLines w:val="0"/>
              <w:suppressLineNumbers w:val="0"/>
              <w:spacing w:before="0" w:beforeAutospacing="0" w:after="0" w:afterAutospacing="0" w:line="360" w:lineRule="auto"/>
              <w:ind w:left="0" w:right="0"/>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0"/>
                <w:szCs w:val="20"/>
                <w:highlight w:val="none"/>
                <w:u w:val="none"/>
                <w:lang w:val="en-US" w:eastAsia="zh-CN" w:bidi="ar"/>
              </w:rPr>
              <w:t>③★木塑衣柜门板规格：1598（±5）×397（±5）×15（±1）mm；带内凹成型明锁空间位置，对穿一次注塑成型锁孔设计。注塑内凹成型明锁空间位置长边长175（±3）mm、宽46（±3）mm。</w:t>
            </w:r>
          </w:p>
        </w:tc>
      </w:tr>
      <w:tr w14:paraId="699BC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noWrap w:val="0"/>
            <w:vAlign w:val="top"/>
          </w:tcPr>
          <w:p w14:paraId="7DF3CDA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45</w:t>
            </w:r>
          </w:p>
        </w:tc>
        <w:tc>
          <w:tcPr>
            <w:tcW w:w="696" w:type="dxa"/>
            <w:noWrap w:val="0"/>
            <w:vAlign w:val="top"/>
          </w:tcPr>
          <w:p w14:paraId="5D1A06D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noWrap w:val="0"/>
            <w:vAlign w:val="top"/>
          </w:tcPr>
          <w:p w14:paraId="1747EE1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样品</w:t>
            </w:r>
          </w:p>
        </w:tc>
        <w:tc>
          <w:tcPr>
            <w:tcW w:w="7960" w:type="dxa"/>
            <w:noWrap w:val="0"/>
            <w:vAlign w:val="top"/>
          </w:tcPr>
          <w:p w14:paraId="55818F19">
            <w:pPr>
              <w:keepNext w:val="0"/>
              <w:keepLines w:val="0"/>
              <w:suppressLineNumbers w:val="0"/>
              <w:spacing w:before="0" w:beforeAutospacing="0" w:after="0" w:afterAutospacing="0" w:line="360" w:lineRule="auto"/>
              <w:ind w:left="0" w:right="0"/>
              <w:rPr>
                <w:rFonts w:hint="default" w:ascii="宋体" w:hAnsi="宋体" w:eastAsia="宋体" w:cs="宋体"/>
                <w:b/>
                <w:bCs/>
                <w:i w:val="0"/>
                <w:iCs w:val="0"/>
                <w:color w:val="auto"/>
                <w:kern w:val="0"/>
                <w:sz w:val="20"/>
                <w:szCs w:val="20"/>
                <w:highlight w:val="none"/>
                <w:u w:val="none"/>
                <w:lang w:eastAsia="zh-CN" w:bidi="ar"/>
              </w:rPr>
            </w:pPr>
            <w:r>
              <w:rPr>
                <w:rFonts w:hint="eastAsia" w:ascii="宋体" w:hAnsi="宋体" w:eastAsia="宋体" w:cs="宋体"/>
                <w:i w:val="0"/>
                <w:iCs w:val="0"/>
                <w:color w:val="auto"/>
                <w:kern w:val="0"/>
                <w:sz w:val="20"/>
                <w:szCs w:val="20"/>
                <w:highlight w:val="none"/>
                <w:u w:val="none"/>
                <w:lang w:val="en-US" w:eastAsia="zh-CN" w:bidi="ar"/>
              </w:rPr>
              <w:t>边立柱床档头小样</w:t>
            </w:r>
            <w:r>
              <w:rPr>
                <w:rFonts w:hint="eastAsia" w:ascii="宋体" w:hAnsi="宋体" w:cs="宋体"/>
                <w:i w:val="0"/>
                <w:iCs w:val="0"/>
                <w:color w:val="auto"/>
                <w:kern w:val="0"/>
                <w:sz w:val="20"/>
                <w:szCs w:val="20"/>
                <w:highlight w:val="none"/>
                <w:u w:val="none"/>
                <w:lang w:val="en-US" w:eastAsia="zh-CN" w:bidi="ar"/>
              </w:rPr>
              <w:t>：</w:t>
            </w:r>
            <w:r>
              <w:rPr>
                <w:rFonts w:hint="default" w:ascii="宋体" w:hAnsi="宋体" w:cs="宋体"/>
                <w:b/>
                <w:bCs/>
                <w:i w:val="0"/>
                <w:iCs w:val="0"/>
                <w:color w:val="auto"/>
                <w:kern w:val="0"/>
                <w:sz w:val="20"/>
                <w:szCs w:val="20"/>
                <w:highlight w:val="none"/>
                <w:u w:val="none"/>
                <w:lang w:eastAsia="zh-CN" w:bidi="ar"/>
              </w:rPr>
              <w:t>★规格为长804(±3)mm×400（±3）mm×21(±2)mm（含注塑厚）。四周整体一次成型注塑嵌边，四周无接缝。</w:t>
            </w:r>
          </w:p>
        </w:tc>
      </w:tr>
      <w:tr w14:paraId="598B6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noWrap w:val="0"/>
            <w:vAlign w:val="top"/>
          </w:tcPr>
          <w:p w14:paraId="5BCEB15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46</w:t>
            </w:r>
          </w:p>
        </w:tc>
        <w:tc>
          <w:tcPr>
            <w:tcW w:w="696" w:type="dxa"/>
            <w:noWrap w:val="0"/>
            <w:vAlign w:val="top"/>
          </w:tcPr>
          <w:p w14:paraId="4D1D7AB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noWrap w:val="0"/>
            <w:vAlign w:val="top"/>
          </w:tcPr>
          <w:p w14:paraId="6B20B98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样品</w:t>
            </w:r>
          </w:p>
        </w:tc>
        <w:tc>
          <w:tcPr>
            <w:tcW w:w="7960" w:type="dxa"/>
            <w:noWrap w:val="0"/>
            <w:vAlign w:val="top"/>
          </w:tcPr>
          <w:p w14:paraId="3A9BF10D">
            <w:pPr>
              <w:keepNext w:val="0"/>
              <w:keepLines w:val="0"/>
              <w:suppressLineNumbers w:val="0"/>
              <w:spacing w:before="0" w:beforeAutospacing="0" w:after="0" w:afterAutospacing="0" w:line="360" w:lineRule="auto"/>
              <w:ind w:left="0" w:right="0"/>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蚊帐杆限位装置</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b/>
                <w:bCs/>
                <w:i w:val="0"/>
                <w:iCs w:val="0"/>
                <w:color w:val="auto"/>
                <w:kern w:val="0"/>
                <w:sz w:val="20"/>
                <w:szCs w:val="20"/>
                <w:highlight w:val="none"/>
                <w:u w:val="none"/>
                <w:lang w:val="en-US" w:eastAsia="zh-CN" w:bidi="ar"/>
              </w:rPr>
              <w:t>★规格为41.6（±1）mm×34.6（±1）mm×20（±1）mm；</w:t>
            </w:r>
          </w:p>
        </w:tc>
      </w:tr>
      <w:tr w14:paraId="5E837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noWrap w:val="0"/>
            <w:vAlign w:val="top"/>
          </w:tcPr>
          <w:p w14:paraId="1B106F9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47</w:t>
            </w:r>
          </w:p>
        </w:tc>
        <w:tc>
          <w:tcPr>
            <w:tcW w:w="696" w:type="dxa"/>
            <w:noWrap w:val="0"/>
            <w:vAlign w:val="top"/>
          </w:tcPr>
          <w:p w14:paraId="1CA75B4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noWrap w:val="0"/>
            <w:vAlign w:val="top"/>
          </w:tcPr>
          <w:p w14:paraId="1179E7A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样品</w:t>
            </w:r>
          </w:p>
        </w:tc>
        <w:tc>
          <w:tcPr>
            <w:tcW w:w="7960" w:type="dxa"/>
            <w:noWrap w:val="0"/>
            <w:vAlign w:val="top"/>
          </w:tcPr>
          <w:p w14:paraId="1DA9791E">
            <w:pPr>
              <w:keepNext w:val="0"/>
              <w:keepLines w:val="0"/>
              <w:suppressLineNumbers w:val="0"/>
              <w:spacing w:before="0" w:beforeAutospacing="0" w:after="0" w:afterAutospacing="0" w:line="360" w:lineRule="auto"/>
              <w:ind w:left="0" w:right="0"/>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注塑走梯踩面</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b/>
                <w:bCs/>
                <w:i w:val="0"/>
                <w:iCs w:val="0"/>
                <w:color w:val="auto"/>
                <w:kern w:val="0"/>
                <w:sz w:val="20"/>
                <w:szCs w:val="20"/>
                <w:highlight w:val="none"/>
                <w:u w:val="none"/>
                <w:lang w:val="en-US" w:eastAsia="zh-CN" w:bidi="ar"/>
              </w:rPr>
              <w:t>②★踩板整体尺寸为长432(±3)mm×宽120(±3)mm×厚23(±2)mm，边部一次嵌边成型，踩面正前方设计防滑凸点及带荧光的塑料颗粒。</w:t>
            </w:r>
          </w:p>
        </w:tc>
      </w:tr>
      <w:tr w14:paraId="3BD1F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tcBorders>
              <w:bottom w:val="single" w:color="auto" w:sz="4" w:space="0"/>
            </w:tcBorders>
            <w:noWrap w:val="0"/>
            <w:vAlign w:val="top"/>
          </w:tcPr>
          <w:p w14:paraId="6FBC0C4B">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48</w:t>
            </w:r>
          </w:p>
        </w:tc>
        <w:tc>
          <w:tcPr>
            <w:tcW w:w="696" w:type="dxa"/>
            <w:tcBorders>
              <w:bottom w:val="single" w:color="auto" w:sz="4" w:space="0"/>
            </w:tcBorders>
            <w:noWrap w:val="0"/>
            <w:vAlign w:val="top"/>
          </w:tcPr>
          <w:p w14:paraId="1477E93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43" w:type="dxa"/>
            <w:tcBorders>
              <w:bottom w:val="single" w:color="auto" w:sz="4" w:space="0"/>
            </w:tcBorders>
            <w:noWrap w:val="0"/>
            <w:vAlign w:val="top"/>
          </w:tcPr>
          <w:p w14:paraId="65A20FC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样品</w:t>
            </w:r>
          </w:p>
        </w:tc>
        <w:tc>
          <w:tcPr>
            <w:tcW w:w="7960" w:type="dxa"/>
            <w:tcBorders>
              <w:bottom w:val="single" w:color="auto" w:sz="4" w:space="0"/>
            </w:tcBorders>
            <w:noWrap w:val="0"/>
            <w:vAlign w:val="top"/>
          </w:tcPr>
          <w:p w14:paraId="16542006">
            <w:pPr>
              <w:keepNext w:val="0"/>
              <w:keepLines w:val="0"/>
              <w:suppressLineNumbers w:val="0"/>
              <w:spacing w:before="0" w:beforeAutospacing="0" w:after="0" w:afterAutospacing="0" w:line="360" w:lineRule="auto"/>
              <w:ind w:left="0" w:right="0"/>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学习椅</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b/>
                <w:bCs/>
                <w:i w:val="0"/>
                <w:iCs w:val="0"/>
                <w:color w:val="auto"/>
                <w:kern w:val="0"/>
                <w:sz w:val="20"/>
                <w:szCs w:val="20"/>
                <w:highlight w:val="none"/>
                <w:u w:val="none"/>
                <w:lang w:val="en-US" w:eastAsia="zh-CN" w:bidi="ar"/>
              </w:rPr>
              <w:t>连体椅面板：★连体椅面板规格445（±5）mm× 470（±5）mm× 398（±5）mm,座面前端弯曲设计。靠背面依据人体的需求设计中间内陷，两侧包覆，下端为凹形设计。靠背设有提手孔，提手孔上端最宽处118（±2）mm、下部分最宽处44（±2）mm，材料采用一级pp塑料一体注塑而成，提手孔上方带有书包挂钩功能。座椅四周及底部完全无毛边，倒圆角，不刮手。</w:t>
            </w:r>
          </w:p>
        </w:tc>
      </w:tr>
    </w:tbl>
    <w:p w14:paraId="0EAFA702">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备注：由于编排顺序混乱而导致投标文件被误读或漏读，该投标人的投标可能被视为无效投标或承担不利的评标结果。</w:t>
      </w:r>
    </w:p>
    <w:p w14:paraId="0FB6FEEE">
      <w:pPr>
        <w:spacing w:line="360" w:lineRule="auto"/>
        <w:rPr>
          <w:rFonts w:hint="eastAsia" w:ascii="宋体" w:hAnsi="宋体" w:eastAsia="宋体" w:cs="宋体"/>
          <w:bCs/>
          <w:color w:val="auto"/>
          <w:sz w:val="24"/>
          <w:szCs w:val="24"/>
          <w:highlight w:val="none"/>
        </w:rPr>
      </w:pPr>
    </w:p>
    <w:p w14:paraId="0AEBA66B">
      <w:pPr>
        <w:spacing w:line="360" w:lineRule="auto"/>
        <w:rPr>
          <w:rFonts w:hint="eastAsia" w:ascii="宋体" w:hAnsi="宋体" w:eastAsia="宋体" w:cs="宋体"/>
          <w:bCs/>
          <w:color w:val="auto"/>
          <w:sz w:val="24"/>
          <w:szCs w:val="24"/>
          <w:highlight w:val="none"/>
        </w:rPr>
      </w:pPr>
    </w:p>
    <w:p w14:paraId="6EE776D9">
      <w:pPr>
        <w:spacing w:line="360" w:lineRule="auto"/>
        <w:ind w:firstLine="640" w:firstLineChars="200"/>
        <w:jc w:val="both"/>
        <w:rPr>
          <w:rFonts w:hint="eastAsia" w:ascii="宋体" w:hAnsi="宋体" w:eastAsia="宋体" w:cs="宋体"/>
          <w:color w:val="auto"/>
          <w:sz w:val="32"/>
          <w:szCs w:val="32"/>
          <w:highlight w:val="none"/>
        </w:rPr>
      </w:pPr>
    </w:p>
    <w:p w14:paraId="556BF465">
      <w:pPr>
        <w:spacing w:line="360" w:lineRule="auto"/>
        <w:ind w:firstLine="640" w:firstLineChars="200"/>
        <w:jc w:val="both"/>
        <w:rPr>
          <w:rFonts w:hint="eastAsia" w:ascii="宋体" w:hAnsi="宋体" w:eastAsia="宋体" w:cs="宋体"/>
          <w:b/>
          <w:color w:val="auto"/>
          <w:sz w:val="32"/>
          <w:szCs w:val="32"/>
          <w:highlight w:val="none"/>
          <w:u w:val="single"/>
        </w:rPr>
      </w:pPr>
      <w:r>
        <w:rPr>
          <w:rFonts w:hint="eastAsia" w:ascii="宋体" w:hAnsi="宋体" w:eastAsia="宋体" w:cs="宋体"/>
          <w:color w:val="auto"/>
          <w:sz w:val="32"/>
          <w:szCs w:val="32"/>
          <w:highlight w:val="none"/>
        </w:rPr>
        <w:t>投标人须知前附表3：评标方法、评标标准、定标原则</w:t>
      </w:r>
    </w:p>
    <w:tbl>
      <w:tblPr>
        <w:tblStyle w:val="11"/>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4"/>
      </w:tblGrid>
      <w:tr w14:paraId="161CA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4" w:type="dxa"/>
            <w:tcBorders>
              <w:top w:val="single" w:color="auto" w:sz="4" w:space="0"/>
              <w:left w:val="single" w:color="auto" w:sz="4" w:space="0"/>
              <w:bottom w:val="single" w:color="auto" w:sz="4" w:space="0"/>
              <w:right w:val="single" w:color="auto" w:sz="4" w:space="0"/>
            </w:tcBorders>
            <w:noWrap w:val="0"/>
            <w:vAlign w:val="top"/>
          </w:tcPr>
          <w:p w14:paraId="1515CED7">
            <w:pPr>
              <w:pStyle w:val="2"/>
              <w:keepNext w:val="0"/>
              <w:keepLines w:val="0"/>
              <w:numPr>
                <w:ilvl w:val="0"/>
                <w:numId w:val="1"/>
              </w:numPr>
              <w:suppressLineNumbers w:val="0"/>
              <w:snapToGrid w:val="0"/>
              <w:spacing w:before="0" w:beforeAutospacing="0" w:after="0" w:afterAutospacing="0" w:line="360" w:lineRule="auto"/>
              <w:ind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w:t>
            </w:r>
          </w:p>
          <w:p w14:paraId="2946EC8D">
            <w:pPr>
              <w:pStyle w:val="2"/>
              <w:keepNext w:val="0"/>
              <w:keepLines w:val="0"/>
              <w:suppressLineNumbers w:val="0"/>
              <w:snapToGrid w:val="0"/>
              <w:spacing w:before="0" w:beforeAutospacing="0" w:after="0" w:afterAutospacing="0" w:line="360" w:lineRule="auto"/>
              <w:ind w:left="480" w:right="0" w:firstLine="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 xml:space="preserve">综合评分法  □ 最低评标价法  </w:t>
            </w:r>
          </w:p>
        </w:tc>
      </w:tr>
      <w:tr w14:paraId="49914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4" w:type="dxa"/>
            <w:tcBorders>
              <w:top w:val="single" w:color="auto" w:sz="4" w:space="0"/>
              <w:left w:val="single" w:color="auto" w:sz="4" w:space="0"/>
              <w:bottom w:val="single" w:color="auto" w:sz="4" w:space="0"/>
              <w:right w:val="single" w:color="auto" w:sz="4" w:space="0"/>
            </w:tcBorders>
            <w:noWrap w:val="0"/>
            <w:vAlign w:val="top"/>
          </w:tcPr>
          <w:p w14:paraId="609AD336">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二、评标标准：</w:t>
            </w:r>
          </w:p>
          <w:p w14:paraId="18EE40AB">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（一）具体的评标标准、权重。</w:t>
            </w:r>
          </w:p>
          <w:p w14:paraId="4A0FC11C">
            <w:pPr>
              <w:pStyle w:val="2"/>
              <w:keepNext w:val="0"/>
              <w:keepLines w:val="0"/>
              <w:suppressLineNumbers w:val="0"/>
              <w:snapToGrid w:val="0"/>
              <w:spacing w:before="0" w:beforeAutospacing="0" w:after="0" w:afterAutospacing="0" w:line="360" w:lineRule="auto"/>
              <w:ind w:left="0" w:right="0"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详见附件</w:t>
            </w:r>
          </w:p>
          <w:p w14:paraId="1BFFF018">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（二）推荐中标候选供应商名单。</w:t>
            </w:r>
          </w:p>
          <w:p w14:paraId="23F79A84">
            <w:pPr>
              <w:pStyle w:val="2"/>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1、中标候选供应商数量：</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3</w:t>
            </w:r>
            <w:r>
              <w:rPr>
                <w:rFonts w:hint="default" w:ascii="宋体" w:hAnsi="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个</w:t>
            </w:r>
            <w:r>
              <w:rPr>
                <w:rFonts w:hint="eastAsia" w:ascii="宋体" w:hAnsi="宋体" w:eastAsia="宋体" w:cs="宋体"/>
                <w:color w:val="auto"/>
                <w:sz w:val="24"/>
                <w:szCs w:val="24"/>
                <w:highlight w:val="none"/>
              </w:rPr>
              <w:t>。</w:t>
            </w:r>
          </w:p>
          <w:p w14:paraId="3F7E797F">
            <w:pPr>
              <w:pStyle w:val="2"/>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2、中标候选供应商排列顺序。经投标文件初审、澄清有关问题、比较与评价评标程序后，按以下办法推荐中标候选供应商名单的排列顺序（请按采购项目的评标方法从以下两项中选择一项打“√”）：</w:t>
            </w:r>
          </w:p>
          <w:p w14:paraId="2728A633">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□采用最低评标价法的，按投标报价由低到高顺序排列。投标报价相同的，按技术指标优劣顺序排列。</w:t>
            </w:r>
          </w:p>
          <w:p w14:paraId="68990F86">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采用综合评分法的，按评审后得分由高到低顺序排列。得分相同的，按投标报价由低到高顺序排列。得分且投标报价相同的，按技术指标优劣顺序排列。</w:t>
            </w:r>
          </w:p>
          <w:p w14:paraId="494BD004">
            <w:pPr>
              <w:pStyle w:val="6"/>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3、关于同一品牌产品投标的相关规定</w:t>
            </w:r>
          </w:p>
          <w:p w14:paraId="724CBDE6">
            <w:pPr>
              <w:pStyle w:val="6"/>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如果有多家投标人以同一品牌的产品参加投标，只能视为一家。</w:t>
            </w:r>
          </w:p>
          <w:p w14:paraId="7440B215">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"http://lilun.caigou2003.com/recijiedu/2365668.html"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最低评标价法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的采购项目，提供相同品牌产品的不同投标人参加同一合同项下投标的，以其中通过资格审查、符合性审查且报价最低的参加评标；报价相同的，由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"http://lilun.caigou2003.com/recijiedu/2539165.html"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评标委员会</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按照招标文件规定的方式确定一个参加评标的投标人，招标文件未规定的采取随机抽取方式确定，其他投标无效。</w:t>
            </w:r>
          </w:p>
          <w:p w14:paraId="495E9611">
            <w:pPr>
              <w:keepNext w:val="0"/>
              <w:keepLines w:val="0"/>
              <w:suppressLineNumbers w:val="0"/>
              <w:spacing w:before="0" w:beforeAutospacing="0" w:after="0" w:afterAutospacing="0" w:line="360" w:lineRule="auto"/>
              <w:ind w:left="0" w:right="0" w:firstLine="32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使用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"http://lilun.caigou2003.com/recijiedu/2365667.html"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综合评分法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的采购项目，提供相同品牌产品且通过资格审查、符合性审查的不同投标人参加同一合同项下投标的，按一家投标人计算，评审后得分最高的同品牌投标人获得中标供应商推荐资格；评审得分相同的，由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委托评标委员会按照招标文件规定的方式确定一个投标人获得中标供应商推荐资格，招标文件未规定的采取随机抽取方式确定，其他同品牌投标人不作为中标候选人。</w:t>
            </w:r>
          </w:p>
          <w:p w14:paraId="71530C23">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非单一产品采购项目，</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应当根据采购项目技术构成、产品价格比重等合理确定核心产品，并在招标文件中载明。多家投标人提供的核心产品品牌相同的，按前两款规定处理。</w:t>
            </w:r>
          </w:p>
        </w:tc>
      </w:tr>
      <w:tr w14:paraId="54092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4" w:type="dxa"/>
            <w:tcBorders>
              <w:top w:val="single" w:color="auto" w:sz="4" w:space="0"/>
              <w:left w:val="single" w:color="auto" w:sz="4" w:space="0"/>
              <w:bottom w:val="single" w:color="auto" w:sz="4" w:space="0"/>
              <w:right w:val="single" w:color="auto" w:sz="4" w:space="0"/>
            </w:tcBorders>
            <w:noWrap w:val="0"/>
            <w:vAlign w:val="top"/>
          </w:tcPr>
          <w:p w14:paraId="0D9472EB">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三、定标原则（确定中标供应商数量：</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w:t>
            </w:r>
          </w:p>
          <w:p w14:paraId="6FAF5382">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委托招标代理机构招标，在收到评标报告后五个工作日内，按照评标报告中推荐的中标候选供应商顺序确定中标供应商。</w:t>
            </w:r>
          </w:p>
          <w:p w14:paraId="469A8676">
            <w:pPr>
              <w:pStyle w:val="2"/>
              <w:keepNext w:val="0"/>
              <w:keepLines w:val="0"/>
              <w:suppressLineNumbers w:val="0"/>
              <w:snapToGrid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委托招标代理机构招标，授权评标委员会直接确定中标供应商。</w:t>
            </w:r>
          </w:p>
          <w:p w14:paraId="67107DBE">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自行组织招标，在评标结束后五个工作日内确定中标供应商。</w:t>
            </w:r>
          </w:p>
        </w:tc>
      </w:tr>
    </w:tbl>
    <w:p w14:paraId="4214F2ED">
      <w:pPr>
        <w:pStyle w:val="2"/>
        <w:snapToGrid w:val="0"/>
        <w:spacing w:line="360" w:lineRule="auto"/>
        <w:ind w:firstLine="0"/>
        <w:rPr>
          <w:rFonts w:hint="eastAsia" w:ascii="宋体" w:hAnsi="宋体" w:eastAsia="宋体" w:cs="宋体"/>
          <w:b/>
          <w:color w:val="auto"/>
          <w:sz w:val="24"/>
          <w:szCs w:val="24"/>
          <w:highlight w:val="none"/>
          <w:u w:val="single"/>
        </w:rPr>
      </w:pPr>
    </w:p>
    <w:p w14:paraId="4F42BC86">
      <w:pPr>
        <w:tabs>
          <w:tab w:val="left" w:pos="-1080"/>
          <w:tab w:val="left" w:pos="180"/>
          <w:tab w:val="left" w:pos="1080"/>
        </w:tabs>
        <w:spacing w:line="360" w:lineRule="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附件：评标标准、权重</w:t>
      </w:r>
    </w:p>
    <w:p w14:paraId="6A081C94">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（一）技术评分(F1)：按</w:t>
      </w:r>
      <w:r>
        <w:rPr>
          <w:rFonts w:hint="eastAsia" w:ascii="宋体" w:hAnsi="宋体" w:cs="宋体"/>
          <w:color w:val="auto"/>
          <w:sz w:val="24"/>
          <w:szCs w:val="24"/>
          <w:highlight w:val="none"/>
          <w:u w:val="single"/>
          <w:lang w:val="en-US" w:eastAsia="zh-CN"/>
        </w:rPr>
        <w:t>55</w:t>
      </w:r>
      <w:r>
        <w:rPr>
          <w:rFonts w:hint="eastAsia" w:ascii="宋体" w:hAnsi="宋体" w:eastAsia="宋体" w:cs="宋体"/>
          <w:color w:val="auto"/>
          <w:sz w:val="24"/>
          <w:szCs w:val="24"/>
          <w:highlight w:val="none"/>
        </w:rPr>
        <w:t>分评分法，技术评分考虑下列因素：</w:t>
      </w:r>
    </w:p>
    <w:tbl>
      <w:tblPr>
        <w:tblStyle w:val="11"/>
        <w:tblW w:w="10040"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620"/>
        <w:gridCol w:w="723"/>
        <w:gridCol w:w="8697"/>
      </w:tblGrid>
      <w:tr w14:paraId="501AA93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Header/>
          <w:jc w:val="center"/>
        </w:trPr>
        <w:tc>
          <w:tcPr>
            <w:tcW w:w="620" w:type="dxa"/>
            <w:tcBorders>
              <w:top w:val="outset" w:color="auto" w:sz="6" w:space="0"/>
              <w:left w:val="outset" w:color="auto" w:sz="6" w:space="0"/>
              <w:bottom w:val="outset" w:color="auto" w:sz="6" w:space="0"/>
              <w:right w:val="outset" w:color="auto" w:sz="6" w:space="0"/>
            </w:tcBorders>
            <w:noWrap w:val="0"/>
            <w:vAlign w:val="center"/>
          </w:tcPr>
          <w:p w14:paraId="6ECC51D5">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评标项目</w:t>
            </w:r>
          </w:p>
        </w:tc>
        <w:tc>
          <w:tcPr>
            <w:tcW w:w="723" w:type="dxa"/>
            <w:tcBorders>
              <w:top w:val="outset" w:color="auto" w:sz="6" w:space="0"/>
              <w:left w:val="outset" w:color="auto" w:sz="6" w:space="0"/>
              <w:bottom w:val="outset" w:color="auto" w:sz="6" w:space="0"/>
              <w:right w:val="outset" w:color="auto" w:sz="6" w:space="0"/>
            </w:tcBorders>
            <w:noWrap w:val="0"/>
            <w:vAlign w:val="center"/>
          </w:tcPr>
          <w:p w14:paraId="4A4C8F47">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评标分值</w:t>
            </w:r>
          </w:p>
        </w:tc>
        <w:tc>
          <w:tcPr>
            <w:tcW w:w="8697" w:type="dxa"/>
            <w:tcBorders>
              <w:top w:val="outset" w:color="auto" w:sz="6" w:space="0"/>
              <w:left w:val="outset" w:color="auto" w:sz="6" w:space="0"/>
              <w:bottom w:val="outset" w:color="auto" w:sz="6" w:space="0"/>
              <w:right w:val="outset" w:color="auto" w:sz="6" w:space="0"/>
            </w:tcBorders>
            <w:noWrap w:val="0"/>
            <w:vAlign w:val="center"/>
          </w:tcPr>
          <w:p w14:paraId="2A41BD47">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评标方法描述</w:t>
            </w:r>
          </w:p>
        </w:tc>
      </w:tr>
      <w:tr w14:paraId="633FDEC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557" w:hRule="atLeast"/>
          <w:jc w:val="center"/>
        </w:trPr>
        <w:tc>
          <w:tcPr>
            <w:tcW w:w="620" w:type="dxa"/>
            <w:tcBorders>
              <w:top w:val="outset" w:color="auto" w:sz="6" w:space="0"/>
              <w:left w:val="outset" w:color="auto" w:sz="6" w:space="0"/>
              <w:bottom w:val="outset" w:color="auto" w:sz="6" w:space="0"/>
              <w:right w:val="outset" w:color="auto" w:sz="6" w:space="0"/>
            </w:tcBorders>
            <w:noWrap w:val="0"/>
            <w:vAlign w:val="center"/>
          </w:tcPr>
          <w:p w14:paraId="29183EA9">
            <w:pPr>
              <w:keepNext w:val="0"/>
              <w:keepLines w:val="0"/>
              <w:widowControl/>
              <w:suppressLineNumbers w:val="0"/>
              <w:spacing w:before="0" w:beforeAutospacing="0" w:after="0" w:afterAutospacing="0" w:line="360" w:lineRule="auto"/>
              <w:ind w:left="0" w:right="0" w:firstLine="356" w:firstLineChars="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w:t>
            </w:r>
          </w:p>
        </w:tc>
        <w:tc>
          <w:tcPr>
            <w:tcW w:w="723" w:type="dxa"/>
            <w:tcBorders>
              <w:top w:val="outset" w:color="auto" w:sz="6" w:space="0"/>
              <w:left w:val="outset" w:color="auto" w:sz="6" w:space="0"/>
              <w:bottom w:val="outset" w:color="auto" w:sz="6" w:space="0"/>
              <w:right w:val="outset" w:color="auto" w:sz="6" w:space="0"/>
            </w:tcBorders>
            <w:noWrap w:val="0"/>
            <w:vAlign w:val="center"/>
          </w:tcPr>
          <w:p w14:paraId="4DF0CE2C">
            <w:pPr>
              <w:keepNext w:val="0"/>
              <w:keepLines w:val="0"/>
              <w:widowControl/>
              <w:suppressLineNumbers w:val="0"/>
              <w:spacing w:before="0" w:beforeAutospacing="0" w:after="0" w:afterAutospacing="0" w:line="360" w:lineRule="auto"/>
              <w:ind w:left="0" w:right="0" w:firstLine="356" w:firstLineChars="0"/>
              <w:jc w:val="both"/>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w:t>
            </w:r>
          </w:p>
        </w:tc>
        <w:tc>
          <w:tcPr>
            <w:tcW w:w="8697" w:type="dxa"/>
            <w:tcBorders>
              <w:top w:val="outset" w:color="auto" w:sz="6" w:space="0"/>
              <w:left w:val="outset" w:color="auto" w:sz="6" w:space="0"/>
              <w:bottom w:val="outset" w:color="auto" w:sz="6" w:space="0"/>
              <w:right w:val="outset" w:color="auto" w:sz="6" w:space="0"/>
            </w:tcBorders>
            <w:noWrap w:val="0"/>
            <w:vAlign w:val="center"/>
          </w:tcPr>
          <w:p w14:paraId="46630D23">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根据各投标人所投附件一品目序号2“办公桌” 满足：“2、基材：桌面采用≧25mm多层板，桌上、下挡板≧9mm，其余≧18mm中纤板。不易变形或开裂，强度大，平整度好。4、脚架：采用管壁厚≧1.2（±0.1）mm的喷塑脚架，表面经过除锈、酸洗、磷化等防锈处理；” 投标人须提供书面承诺函（格式自拟）完全满足得 2分，其余不得分。</w:t>
            </w:r>
          </w:p>
        </w:tc>
      </w:tr>
      <w:tr w14:paraId="69F28F4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654" w:hRule="atLeast"/>
          <w:jc w:val="center"/>
        </w:trPr>
        <w:tc>
          <w:tcPr>
            <w:tcW w:w="620" w:type="dxa"/>
            <w:tcBorders>
              <w:top w:val="outset" w:color="auto" w:sz="6" w:space="0"/>
              <w:left w:val="outset" w:color="auto" w:sz="6" w:space="0"/>
              <w:bottom w:val="outset" w:color="auto" w:sz="6" w:space="0"/>
              <w:right w:val="outset" w:color="auto" w:sz="6" w:space="0"/>
            </w:tcBorders>
            <w:noWrap w:val="0"/>
            <w:vAlign w:val="center"/>
          </w:tcPr>
          <w:p w14:paraId="6EBC6FF1">
            <w:pPr>
              <w:keepNext w:val="0"/>
              <w:keepLines w:val="0"/>
              <w:widowControl/>
              <w:suppressLineNumbers w:val="0"/>
              <w:spacing w:before="0" w:beforeAutospacing="0" w:after="0" w:afterAutospacing="0" w:line="360" w:lineRule="auto"/>
              <w:ind w:left="0" w:right="0" w:firstLine="240" w:firstLineChars="10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w:t>
            </w:r>
          </w:p>
        </w:tc>
        <w:tc>
          <w:tcPr>
            <w:tcW w:w="723" w:type="dxa"/>
            <w:tcBorders>
              <w:top w:val="outset" w:color="auto" w:sz="6" w:space="0"/>
              <w:left w:val="outset" w:color="auto" w:sz="6" w:space="0"/>
              <w:bottom w:val="outset" w:color="auto" w:sz="6" w:space="0"/>
              <w:right w:val="outset" w:color="auto" w:sz="6" w:space="0"/>
            </w:tcBorders>
            <w:noWrap w:val="0"/>
            <w:vAlign w:val="center"/>
          </w:tcPr>
          <w:p w14:paraId="4C65304D">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8697" w:type="dxa"/>
            <w:tcBorders>
              <w:top w:val="outset" w:color="auto" w:sz="6" w:space="0"/>
              <w:left w:val="outset" w:color="auto" w:sz="6" w:space="0"/>
              <w:bottom w:val="outset" w:color="auto" w:sz="6" w:space="0"/>
              <w:right w:val="outset" w:color="auto" w:sz="6" w:space="0"/>
            </w:tcBorders>
            <w:noWrap w:val="0"/>
            <w:vAlign w:val="center"/>
          </w:tcPr>
          <w:p w14:paraId="00EFFF16">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根据各投标人所投附件一品目序号4“办公椅” 满足：“6、底盘：特定胶合板底盘：可任意角度锁定午休。通过冲击测试。 7、气杆：三级气杆，内芯</w:t>
            </w:r>
            <w:r>
              <w:rPr>
                <w:rFonts w:hint="eastAsia" w:ascii="宋体" w:hAnsi="宋体" w:eastAsia="宋体" w:cs="宋体"/>
                <w:strike w:val="0"/>
                <w:dstrike w:val="0"/>
                <w:color w:val="auto"/>
                <w:kern w:val="0"/>
                <w:sz w:val="24"/>
                <w:szCs w:val="24"/>
                <w:highlight w:val="none"/>
                <w:lang w:val="en-US" w:eastAsia="zh-CN" w:bidi="ar"/>
              </w:rPr>
              <w:t>管臂厚</w:t>
            </w:r>
            <w:r>
              <w:rPr>
                <w:rFonts w:hint="eastAsia" w:ascii="宋体" w:hAnsi="宋体" w:eastAsia="宋体" w:cs="宋体"/>
                <w:color w:val="auto"/>
                <w:kern w:val="0"/>
                <w:sz w:val="24"/>
                <w:szCs w:val="24"/>
                <w:highlight w:val="none"/>
                <w:lang w:val="en-US" w:eastAsia="zh-CN" w:bidi="ar"/>
              </w:rPr>
              <w:t>≧2.0（±0.1）mm，外锥套管壁厚≧1.5（±0.1）mm，通过旋转耐久测试及升降耐久测试。” 投标人须提供书面承诺函（格式自拟）完全满足得 3分，其余不得分。</w:t>
            </w:r>
          </w:p>
        </w:tc>
      </w:tr>
      <w:tr w14:paraId="6E57F86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620" w:type="dxa"/>
            <w:tcBorders>
              <w:top w:val="outset" w:color="auto" w:sz="6" w:space="0"/>
              <w:left w:val="outset" w:color="auto" w:sz="6" w:space="0"/>
              <w:bottom w:val="outset" w:color="auto" w:sz="6" w:space="0"/>
              <w:right w:val="outset" w:color="auto" w:sz="6" w:space="0"/>
            </w:tcBorders>
            <w:noWrap w:val="0"/>
            <w:vAlign w:val="center"/>
          </w:tcPr>
          <w:p w14:paraId="321349CF">
            <w:pPr>
              <w:keepNext w:val="0"/>
              <w:keepLines w:val="0"/>
              <w:widowControl/>
              <w:suppressLineNumbers w:val="0"/>
              <w:spacing w:before="0" w:beforeAutospacing="0" w:after="0" w:afterAutospacing="0" w:line="360" w:lineRule="auto"/>
              <w:ind w:left="0" w:right="0" w:firstLine="240" w:firstLineChars="10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723" w:type="dxa"/>
            <w:tcBorders>
              <w:top w:val="outset" w:color="auto" w:sz="6" w:space="0"/>
              <w:left w:val="outset" w:color="auto" w:sz="6" w:space="0"/>
              <w:bottom w:val="outset" w:color="auto" w:sz="6" w:space="0"/>
              <w:right w:val="outset" w:color="auto" w:sz="6" w:space="0"/>
            </w:tcBorders>
            <w:noWrap w:val="0"/>
            <w:vAlign w:val="center"/>
          </w:tcPr>
          <w:p w14:paraId="37F915C8">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8697" w:type="dxa"/>
            <w:tcBorders>
              <w:top w:val="outset" w:color="auto" w:sz="6" w:space="0"/>
              <w:left w:val="outset" w:color="auto" w:sz="6" w:space="0"/>
              <w:bottom w:val="outset" w:color="auto" w:sz="6" w:space="0"/>
              <w:right w:val="outset" w:color="auto" w:sz="6" w:space="0"/>
            </w:tcBorders>
            <w:noWrap w:val="0"/>
            <w:vAlign w:val="center"/>
          </w:tcPr>
          <w:p w14:paraId="6D4815EA">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根据各投标人所投附件一品目序号5 “音乐椅”满足：“4、前后脚支架：厚1.0（±0.1）mm×宽14（±2）mm×长24（±2）mm(旦管)。” 投标人须提供书面承诺函（格式自拟）完全满足得 3 分，其余不得分。</w:t>
            </w:r>
          </w:p>
        </w:tc>
      </w:tr>
      <w:tr w14:paraId="19B03E3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005" w:hRule="atLeast"/>
          <w:jc w:val="center"/>
        </w:trPr>
        <w:tc>
          <w:tcPr>
            <w:tcW w:w="620" w:type="dxa"/>
            <w:tcBorders>
              <w:top w:val="outset" w:color="auto" w:sz="6" w:space="0"/>
              <w:left w:val="outset" w:color="auto" w:sz="6" w:space="0"/>
              <w:bottom w:val="outset" w:color="auto" w:sz="6" w:space="0"/>
              <w:right w:val="outset" w:color="auto" w:sz="6" w:space="0"/>
            </w:tcBorders>
            <w:noWrap w:val="0"/>
            <w:vAlign w:val="center"/>
          </w:tcPr>
          <w:p w14:paraId="766E6449">
            <w:pPr>
              <w:keepNext w:val="0"/>
              <w:keepLines w:val="0"/>
              <w:widowControl/>
              <w:suppressLineNumbers w:val="0"/>
              <w:spacing w:before="0" w:beforeAutospacing="0" w:after="0" w:afterAutospacing="0" w:line="360" w:lineRule="auto"/>
              <w:ind w:left="0" w:right="0" w:firstLine="240" w:firstLineChars="10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w:t>
            </w:r>
          </w:p>
        </w:tc>
        <w:tc>
          <w:tcPr>
            <w:tcW w:w="723" w:type="dxa"/>
            <w:tcBorders>
              <w:top w:val="outset" w:color="auto" w:sz="6" w:space="0"/>
              <w:left w:val="outset" w:color="auto" w:sz="6" w:space="0"/>
              <w:bottom w:val="outset" w:color="auto" w:sz="6" w:space="0"/>
              <w:right w:val="outset" w:color="auto" w:sz="6" w:space="0"/>
            </w:tcBorders>
            <w:noWrap w:val="0"/>
            <w:vAlign w:val="center"/>
          </w:tcPr>
          <w:p w14:paraId="3D8CA511">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8697" w:type="dxa"/>
            <w:tcBorders>
              <w:top w:val="outset" w:color="auto" w:sz="6" w:space="0"/>
              <w:left w:val="outset" w:color="auto" w:sz="6" w:space="0"/>
              <w:bottom w:val="outset" w:color="auto" w:sz="6" w:space="0"/>
              <w:right w:val="outset" w:color="auto" w:sz="6" w:space="0"/>
            </w:tcBorders>
            <w:noWrap w:val="0"/>
            <w:vAlign w:val="center"/>
          </w:tcPr>
          <w:p w14:paraId="0046C012">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 xml:space="preserve">根据各投标人所投附件一品目序号6“移动合唱站台” 满足：“3.功能：合唱台台阶可翻转设计，可调整为两层合唱台也可以变为一个整体的小舞台，侧面轮子设计方便推移。” </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投标人须提供书面承诺函（格式自拟）完全满足得 3 分，其余不得分。</w:t>
            </w:r>
          </w:p>
        </w:tc>
      </w:tr>
      <w:tr w14:paraId="31481A2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620" w:type="dxa"/>
            <w:tcBorders>
              <w:top w:val="outset" w:color="auto" w:sz="6" w:space="0"/>
              <w:left w:val="outset" w:color="auto" w:sz="6" w:space="0"/>
              <w:bottom w:val="outset" w:color="auto" w:sz="6" w:space="0"/>
              <w:right w:val="outset" w:color="auto" w:sz="6" w:space="0"/>
            </w:tcBorders>
            <w:noWrap w:val="0"/>
            <w:vAlign w:val="center"/>
          </w:tcPr>
          <w:p w14:paraId="00AFECFB">
            <w:pPr>
              <w:keepNext w:val="0"/>
              <w:keepLines w:val="0"/>
              <w:widowControl/>
              <w:suppressLineNumbers w:val="0"/>
              <w:spacing w:before="0" w:beforeAutospacing="0" w:after="0" w:afterAutospacing="0" w:line="360" w:lineRule="auto"/>
              <w:ind w:left="0" w:right="0" w:firstLine="240" w:firstLineChars="10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5</w:t>
            </w:r>
          </w:p>
        </w:tc>
        <w:tc>
          <w:tcPr>
            <w:tcW w:w="723" w:type="dxa"/>
            <w:tcBorders>
              <w:top w:val="outset" w:color="auto" w:sz="6" w:space="0"/>
              <w:left w:val="outset" w:color="auto" w:sz="6" w:space="0"/>
              <w:bottom w:val="outset" w:color="auto" w:sz="6" w:space="0"/>
              <w:right w:val="outset" w:color="auto" w:sz="6" w:space="0"/>
            </w:tcBorders>
            <w:noWrap w:val="0"/>
            <w:vAlign w:val="center"/>
          </w:tcPr>
          <w:p w14:paraId="63124C14">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8697" w:type="dxa"/>
            <w:tcBorders>
              <w:top w:val="outset" w:color="auto" w:sz="6" w:space="0"/>
              <w:left w:val="outset" w:color="auto" w:sz="6" w:space="0"/>
              <w:bottom w:val="outset" w:color="auto" w:sz="6" w:space="0"/>
              <w:right w:val="outset" w:color="auto" w:sz="6" w:space="0"/>
            </w:tcBorders>
            <w:noWrap w:val="0"/>
            <w:vAlign w:val="center"/>
          </w:tcPr>
          <w:p w14:paraId="01A64EF0">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根据各投标人所投品目序号10“实木铺板” 满足：“1、床板由16（±1）mm杉木板7片拼接而成，四周切角≥10mm×10mm；2、采用4根30（±3）mm×40（±3）mm杉木固定而成。” 投标人须提供书面承诺函（格式自拟）完全满足得 3 分，其余不得分。</w:t>
            </w:r>
          </w:p>
        </w:tc>
      </w:tr>
      <w:tr w14:paraId="1AF06B0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861" w:hRule="atLeast"/>
          <w:jc w:val="center"/>
        </w:trPr>
        <w:tc>
          <w:tcPr>
            <w:tcW w:w="620" w:type="dxa"/>
            <w:tcBorders>
              <w:top w:val="outset" w:color="auto" w:sz="6" w:space="0"/>
              <w:left w:val="outset" w:color="auto" w:sz="6" w:space="0"/>
              <w:bottom w:val="outset" w:color="auto" w:sz="6" w:space="0"/>
              <w:right w:val="outset" w:color="auto" w:sz="6" w:space="0"/>
            </w:tcBorders>
            <w:noWrap w:val="0"/>
            <w:vAlign w:val="center"/>
          </w:tcPr>
          <w:p w14:paraId="7F2236AB">
            <w:pPr>
              <w:keepNext w:val="0"/>
              <w:keepLines w:val="0"/>
              <w:widowControl/>
              <w:suppressLineNumbers w:val="0"/>
              <w:spacing w:before="0" w:beforeAutospacing="0" w:after="0" w:afterAutospacing="0" w:line="360" w:lineRule="auto"/>
              <w:ind w:left="0" w:right="0" w:firstLine="240" w:firstLineChars="10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w:t>
            </w:r>
          </w:p>
        </w:tc>
        <w:tc>
          <w:tcPr>
            <w:tcW w:w="723" w:type="dxa"/>
            <w:tcBorders>
              <w:top w:val="outset" w:color="auto" w:sz="6" w:space="0"/>
              <w:left w:val="outset" w:color="auto" w:sz="6" w:space="0"/>
              <w:bottom w:val="outset" w:color="auto" w:sz="6" w:space="0"/>
              <w:right w:val="outset" w:color="auto" w:sz="6" w:space="0"/>
            </w:tcBorders>
            <w:noWrap w:val="0"/>
            <w:vAlign w:val="center"/>
          </w:tcPr>
          <w:p w14:paraId="027378A6">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8697" w:type="dxa"/>
            <w:tcBorders>
              <w:top w:val="outset" w:color="auto" w:sz="6" w:space="0"/>
              <w:left w:val="outset" w:color="auto" w:sz="6" w:space="0"/>
              <w:bottom w:val="outset" w:color="auto" w:sz="6" w:space="0"/>
              <w:right w:val="outset" w:color="auto" w:sz="6" w:space="0"/>
            </w:tcBorders>
            <w:noWrap w:val="0"/>
            <w:vAlign w:val="center"/>
          </w:tcPr>
          <w:p w14:paraId="5C804EDB">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sz w:val="24"/>
                <w:szCs w:val="24"/>
                <w:highlight w:val="none"/>
                <w:lang w:val="en-US" w:eastAsia="zh-CN"/>
              </w:rPr>
              <w:t>根据投标人提供的由</w:t>
            </w:r>
            <w:r>
              <w:rPr>
                <w:rFonts w:hint="eastAsia" w:ascii="宋体" w:hAnsi="宋体" w:eastAsia="宋体" w:cs="宋体"/>
                <w:color w:val="auto"/>
                <w:kern w:val="0"/>
                <w:sz w:val="24"/>
                <w:szCs w:val="24"/>
                <w:highlight w:val="none"/>
                <w:lang w:val="en-US" w:eastAsia="zh-CN" w:bidi="ar"/>
              </w:rPr>
              <w:t>第三方检测机构出具的“涂层钢架”检测报告，检测项目内容至少包含：</w:t>
            </w:r>
          </w:p>
          <w:p w14:paraId="39D4C312">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一、中性盐雾：（依据：QB/T3826</w:t>
            </w:r>
            <w:r>
              <w:rPr>
                <w:rFonts w:hint="eastAsia" w:ascii="宋体" w:hAnsi="宋体" w:eastAsia="宋体" w:cs="宋体"/>
                <w:color w:val="auto"/>
                <w:kern w:val="0"/>
                <w:sz w:val="24"/>
                <w:szCs w:val="24"/>
                <w:highlight w:val="none"/>
                <w:lang w:val="en-US" w:eastAsia="zh-CN" w:bidi="ar"/>
              </w:rPr>
              <w:t>-1999</w:t>
            </w:r>
            <w:r>
              <w:rPr>
                <w:rFonts w:hint="eastAsia" w:ascii="宋体" w:hAnsi="宋体" w:eastAsia="宋体" w:cs="宋体"/>
                <w:color w:val="auto"/>
                <w:kern w:val="0"/>
                <w:sz w:val="24"/>
                <w:szCs w:val="24"/>
                <w:highlight w:val="none"/>
                <w:lang w:val="en-US" w:eastAsia="zh-CN" w:bidi="ar"/>
              </w:rPr>
              <w:t>《轻工产品金属镀层和化学处理层的耐腐蚀试验方法 中性盐雾试验（NSS）法》标准要求）检测结果</w:t>
            </w:r>
            <w:r>
              <w:rPr>
                <w:rFonts w:hint="eastAsia" w:ascii="宋体" w:hAnsi="宋体" w:eastAsia="宋体" w:cs="宋体"/>
                <w:color w:val="auto"/>
                <w:kern w:val="0"/>
                <w:sz w:val="24"/>
                <w:szCs w:val="24"/>
                <w:highlight w:val="none"/>
                <w:lang w:val="en-US" w:eastAsia="zh-CN" w:bidi="ar"/>
              </w:rPr>
              <w:t>≥360小时</w:t>
            </w:r>
            <w:r>
              <w:rPr>
                <w:rFonts w:hint="eastAsia" w:ascii="宋体" w:hAnsi="宋体" w:eastAsia="宋体" w:cs="宋体"/>
                <w:color w:val="auto"/>
                <w:kern w:val="0"/>
                <w:sz w:val="24"/>
                <w:szCs w:val="24"/>
                <w:highlight w:val="none"/>
                <w:lang w:val="en-US" w:eastAsia="zh-CN" w:bidi="ar"/>
              </w:rPr>
              <w:t>中性盐雾试验（涂层本身的耐腐蚀等级≥10级，涂层对基体的保护等级≥10级）；</w:t>
            </w:r>
          </w:p>
          <w:p w14:paraId="1E5E2A92">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二、抗霉菌性能：（依据：HG/T3950</w:t>
            </w:r>
            <w:r>
              <w:rPr>
                <w:rFonts w:hint="eastAsia" w:ascii="宋体" w:hAnsi="宋体" w:eastAsia="宋体" w:cs="宋体"/>
                <w:color w:val="auto"/>
                <w:kern w:val="0"/>
                <w:sz w:val="24"/>
                <w:szCs w:val="24"/>
                <w:highlight w:val="none"/>
                <w:lang w:val="en-US" w:eastAsia="zh-CN" w:bidi="ar"/>
              </w:rPr>
              <w:t>-2007</w:t>
            </w:r>
            <w:r>
              <w:rPr>
                <w:rFonts w:hint="eastAsia" w:ascii="宋体" w:hAnsi="宋体" w:eastAsia="宋体" w:cs="宋体"/>
                <w:color w:val="auto"/>
                <w:kern w:val="0"/>
                <w:sz w:val="24"/>
                <w:szCs w:val="24"/>
                <w:highlight w:val="none"/>
                <w:lang w:val="en-US" w:eastAsia="zh-CN" w:bidi="ar"/>
              </w:rPr>
              <w:t xml:space="preserve">《抗菌涂料》标准要求）检测结果为0级； </w:t>
            </w:r>
          </w:p>
          <w:p w14:paraId="10C68414">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 xml:space="preserve">注：须提供相关检测报告复印件并加盖投标人公章，检测报告必须附有二维码，二维码扫描结果与检测报告内容一致，同时提供检测报告在中国 国家认证认可监督管理委员会（http://www.cnca.gov.cn/）或国家市场 监督管理总局政务服务平台 </w:t>
            </w:r>
          </w:p>
          <w:p w14:paraId="27CC006B">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 xml:space="preserve">http://cx.cnca.cn/CertECloud/qts/qts/qtsPage?showMode=2）的有效查询 网址，检测报告为带 CMA或 CNAS标识的检测机构出具的检测报告，检验报告中受检（或委托）单位应与投标人或生产厂家一致。完全满足得 3 分，其余不得分。 </w:t>
            </w:r>
          </w:p>
        </w:tc>
      </w:tr>
      <w:tr w14:paraId="6F06F07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82" w:hRule="atLeast"/>
          <w:jc w:val="center"/>
        </w:trPr>
        <w:tc>
          <w:tcPr>
            <w:tcW w:w="620" w:type="dxa"/>
            <w:tcBorders>
              <w:top w:val="outset" w:color="auto" w:sz="6" w:space="0"/>
              <w:left w:val="outset" w:color="auto" w:sz="6" w:space="0"/>
              <w:bottom w:val="outset" w:color="auto" w:sz="6" w:space="0"/>
              <w:right w:val="outset" w:color="auto" w:sz="6" w:space="0"/>
            </w:tcBorders>
            <w:noWrap w:val="0"/>
            <w:vAlign w:val="center"/>
          </w:tcPr>
          <w:p w14:paraId="6C71CAD1">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w:t>
            </w:r>
          </w:p>
        </w:tc>
        <w:tc>
          <w:tcPr>
            <w:tcW w:w="723" w:type="dxa"/>
            <w:tcBorders>
              <w:top w:val="outset" w:color="auto" w:sz="6" w:space="0"/>
              <w:left w:val="outset" w:color="auto" w:sz="6" w:space="0"/>
              <w:bottom w:val="outset" w:color="auto" w:sz="6" w:space="0"/>
              <w:right w:val="outset" w:color="auto" w:sz="6" w:space="0"/>
            </w:tcBorders>
            <w:noWrap w:val="0"/>
            <w:vAlign w:val="center"/>
          </w:tcPr>
          <w:p w14:paraId="2593CAA5">
            <w:pPr>
              <w:keepNext w:val="0"/>
              <w:keepLines w:val="0"/>
              <w:widowControl/>
              <w:suppressLineNumbers w:val="0"/>
              <w:spacing w:before="0" w:beforeAutospacing="0" w:after="0" w:afterAutospacing="0" w:line="360" w:lineRule="auto"/>
              <w:ind w:left="0" w:right="0" w:firstLine="356"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8697" w:type="dxa"/>
            <w:tcBorders>
              <w:top w:val="outset" w:color="auto" w:sz="6" w:space="0"/>
              <w:left w:val="outset" w:color="auto" w:sz="6" w:space="0"/>
              <w:bottom w:val="outset" w:color="auto" w:sz="6" w:space="0"/>
              <w:right w:val="outset" w:color="auto" w:sz="6" w:space="0"/>
            </w:tcBorders>
            <w:noWrap w:val="0"/>
            <w:vAlign w:val="center"/>
          </w:tcPr>
          <w:p w14:paraId="2CA5E558">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sz w:val="24"/>
                <w:szCs w:val="24"/>
                <w:highlight w:val="none"/>
                <w:lang w:val="en-US" w:eastAsia="zh-CN"/>
              </w:rPr>
              <w:t>根据投标人提供的由第三方检测机构出具的“中纤板”检测报告，</w:t>
            </w:r>
            <w:r>
              <w:rPr>
                <w:rFonts w:hint="eastAsia" w:ascii="宋体" w:hAnsi="宋体" w:eastAsia="宋体" w:cs="宋体"/>
                <w:color w:val="auto"/>
                <w:kern w:val="0"/>
                <w:sz w:val="24"/>
                <w:szCs w:val="24"/>
                <w:highlight w:val="none"/>
                <w:lang w:val="en-US" w:eastAsia="zh-CN" w:bidi="ar"/>
              </w:rPr>
              <w:t>检测项目内容至少包含：</w:t>
            </w:r>
          </w:p>
          <w:p w14:paraId="7A8D9F94">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一、人造板防霉性能：（依据：LY/T2230-</w:t>
            </w:r>
            <w:r>
              <w:rPr>
                <w:rFonts w:hint="eastAsia" w:ascii="宋体" w:hAnsi="宋体" w:eastAsia="宋体" w:cs="宋体"/>
                <w:color w:val="auto"/>
                <w:sz w:val="24"/>
                <w:szCs w:val="24"/>
                <w:highlight w:val="none"/>
                <w:lang w:val="en-US" w:eastAsia="zh-CN"/>
              </w:rPr>
              <w:t>2013</w:t>
            </w:r>
            <w:r>
              <w:rPr>
                <w:rFonts w:hint="eastAsia" w:ascii="宋体" w:hAnsi="宋体" w:eastAsia="宋体" w:cs="宋体"/>
                <w:color w:val="auto"/>
                <w:sz w:val="24"/>
                <w:szCs w:val="24"/>
                <w:highlight w:val="none"/>
                <w:lang w:val="en-US" w:eastAsia="zh-CN"/>
              </w:rPr>
              <w:t xml:space="preserve">《人造板防霉性能评价》标准要求）检测结果为0级（强防霉级）；                              </w:t>
            </w:r>
          </w:p>
          <w:p w14:paraId="3A4596AE">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 xml:space="preserve">注：须提供相关检测报告复印件并加盖投标人公章，检测报告必须附有二维码，二维码扫描结果与检测报告内容一致，同时提供检测报告在中国 国家认证认可监督管理委员会（http://www.cnca.gov.cn/）或国家市场 监督管理总局政务服务平台 </w:t>
            </w:r>
          </w:p>
          <w:p w14:paraId="068D4B9C">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 xml:space="preserve">http://cx.cnca.cn/CertECloud/qts/qts/qtsPage?showMode=2）的有效查询 网址，检测报告为带 CMA 或 CNAS 标识的检测机构出具的检测报告，检验报告中受检（或委托）单位应与投标人或生产厂家一致。完全满足得 3 分，其余不得分。 </w:t>
            </w:r>
          </w:p>
        </w:tc>
      </w:tr>
      <w:tr w14:paraId="2DB1B1C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753" w:hRule="atLeast"/>
          <w:jc w:val="center"/>
        </w:trPr>
        <w:tc>
          <w:tcPr>
            <w:tcW w:w="620" w:type="dxa"/>
            <w:tcBorders>
              <w:top w:val="outset" w:color="auto" w:sz="6" w:space="0"/>
              <w:left w:val="outset" w:color="auto" w:sz="6" w:space="0"/>
              <w:bottom w:val="outset" w:color="auto" w:sz="6" w:space="0"/>
              <w:right w:val="outset" w:color="auto" w:sz="6" w:space="0"/>
            </w:tcBorders>
            <w:noWrap w:val="0"/>
            <w:vAlign w:val="center"/>
          </w:tcPr>
          <w:p w14:paraId="5EB9A215">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8</w:t>
            </w:r>
          </w:p>
        </w:tc>
        <w:tc>
          <w:tcPr>
            <w:tcW w:w="723" w:type="dxa"/>
            <w:tcBorders>
              <w:top w:val="outset" w:color="auto" w:sz="6" w:space="0"/>
              <w:left w:val="outset" w:color="auto" w:sz="6" w:space="0"/>
              <w:bottom w:val="outset" w:color="auto" w:sz="6" w:space="0"/>
              <w:right w:val="outset" w:color="auto" w:sz="6" w:space="0"/>
            </w:tcBorders>
            <w:noWrap w:val="0"/>
            <w:vAlign w:val="center"/>
          </w:tcPr>
          <w:p w14:paraId="36934CA3">
            <w:pPr>
              <w:keepNext w:val="0"/>
              <w:keepLines w:val="0"/>
              <w:widowControl/>
              <w:suppressLineNumbers w:val="0"/>
              <w:spacing w:before="0" w:beforeAutospacing="0" w:after="0" w:afterAutospacing="0" w:line="360" w:lineRule="auto"/>
              <w:ind w:left="0" w:right="0" w:firstLine="356"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8697" w:type="dxa"/>
            <w:tcBorders>
              <w:top w:val="outset" w:color="auto" w:sz="6" w:space="0"/>
              <w:left w:val="outset" w:color="auto" w:sz="6" w:space="0"/>
              <w:bottom w:val="outset" w:color="auto" w:sz="6" w:space="0"/>
              <w:right w:val="outset" w:color="auto" w:sz="6" w:space="0"/>
            </w:tcBorders>
            <w:noWrap w:val="0"/>
            <w:vAlign w:val="center"/>
          </w:tcPr>
          <w:p w14:paraId="167993B6">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根据投标人提供的由第三方检测机构出具的</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kern w:val="0"/>
                <w:sz w:val="24"/>
                <w:szCs w:val="24"/>
                <w:highlight w:val="none"/>
                <w:lang w:val="en-US" w:eastAsia="zh-CN" w:bidi="ar"/>
              </w:rPr>
              <w:t>塑料部件”检测报告，</w:t>
            </w:r>
            <w:r>
              <w:rPr>
                <w:rFonts w:hint="eastAsia" w:ascii="宋体" w:hAnsi="宋体" w:eastAsia="宋体" w:cs="宋体"/>
                <w:color w:val="auto"/>
                <w:kern w:val="0"/>
                <w:sz w:val="24"/>
                <w:szCs w:val="24"/>
                <w:highlight w:val="none"/>
                <w:lang w:val="en-US" w:eastAsia="zh-CN" w:bidi="ar"/>
              </w:rPr>
              <w:t>检测项目内容至少包含：</w:t>
            </w:r>
          </w:p>
          <w:p w14:paraId="2E710BCA">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一、抗菌性能要求（其它材料覆面的家具）：（依据：QB/T4371</w:t>
            </w:r>
            <w:r>
              <w:rPr>
                <w:rFonts w:hint="eastAsia" w:ascii="宋体" w:hAnsi="宋体" w:eastAsia="宋体" w:cs="宋体"/>
                <w:color w:val="auto"/>
                <w:kern w:val="0"/>
                <w:sz w:val="24"/>
                <w:szCs w:val="24"/>
                <w:highlight w:val="none"/>
                <w:lang w:val="en-US" w:eastAsia="zh-CN" w:bidi="ar"/>
              </w:rPr>
              <w:t>-2012</w:t>
            </w:r>
            <w:r>
              <w:rPr>
                <w:rFonts w:hint="eastAsia" w:ascii="宋体" w:hAnsi="宋体" w:eastAsia="宋体" w:cs="宋体"/>
                <w:color w:val="auto"/>
                <w:kern w:val="0"/>
                <w:sz w:val="24"/>
                <w:szCs w:val="24"/>
                <w:highlight w:val="none"/>
                <w:lang w:val="en-US" w:eastAsia="zh-CN" w:bidi="ar"/>
              </w:rPr>
              <w:t>《家具抗菌性能的评价》标准要求，单项评价结果须为“合格”）当抑菌率不小于90%时，表示样品具有抗菌效果；当抑菌率不小于99%时，表示样品具有较好的抑菌效果；</w:t>
            </w:r>
          </w:p>
          <w:p w14:paraId="4DFCBEF8">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二、塑料防霉剂的防霉效果：（依据：GB/T24128</w:t>
            </w:r>
            <w:r>
              <w:rPr>
                <w:rFonts w:hint="eastAsia" w:ascii="宋体" w:hAnsi="宋体" w:eastAsia="宋体" w:cs="宋体"/>
                <w:color w:val="auto"/>
                <w:kern w:val="0"/>
                <w:sz w:val="24"/>
                <w:szCs w:val="24"/>
                <w:highlight w:val="none"/>
                <w:lang w:val="en-US" w:eastAsia="zh-CN" w:bidi="ar"/>
              </w:rPr>
              <w:t>-2018</w:t>
            </w:r>
            <w:r>
              <w:rPr>
                <w:rFonts w:hint="eastAsia" w:ascii="宋体" w:hAnsi="宋体" w:eastAsia="宋体" w:cs="宋体"/>
                <w:color w:val="auto"/>
                <w:kern w:val="0"/>
                <w:sz w:val="24"/>
                <w:szCs w:val="24"/>
                <w:highlight w:val="none"/>
                <w:lang w:val="en-US" w:eastAsia="zh-CN" w:bidi="ar"/>
              </w:rPr>
              <w:t xml:space="preserve">《塑料 塑料防霉剂的防霉效果评估》标准要求）检测结果为0级；                                       </w:t>
            </w:r>
          </w:p>
          <w:p w14:paraId="56AE8DE0">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 xml:space="preserve">注：须提供相关检测报告复印件并加盖投标人公章，检测报告必须附有二维码，二维码扫描结果与检测报告内容一致，同时提供检测报告在中国 国家认证认可监督管理委员会（http://www.cnca.gov.cn/）或国家市场 监督管理总局政务服务平台 </w:t>
            </w:r>
          </w:p>
          <w:p w14:paraId="0CD460F0">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http://cx.cnca.cn/CertECloud/qts/qts/qtsPage?showMode=2）的有效查询 网址，检测报告为带 CMA 或 CNAS 标识的检测机构出具的检测报告，检验报告中受检（或委托）单位应与投标人或生产厂家一致。完全满足得 3 分，其余不得分。 </w:t>
            </w:r>
          </w:p>
        </w:tc>
      </w:tr>
      <w:tr w14:paraId="0EC0647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074" w:hRule="atLeast"/>
          <w:jc w:val="center"/>
        </w:trPr>
        <w:tc>
          <w:tcPr>
            <w:tcW w:w="620" w:type="dxa"/>
            <w:tcBorders>
              <w:top w:val="outset" w:color="auto" w:sz="6" w:space="0"/>
              <w:left w:val="outset" w:color="auto" w:sz="6" w:space="0"/>
              <w:bottom w:val="outset" w:color="auto" w:sz="6" w:space="0"/>
              <w:right w:val="outset" w:color="auto" w:sz="6" w:space="0"/>
            </w:tcBorders>
            <w:noWrap w:val="0"/>
            <w:vAlign w:val="center"/>
          </w:tcPr>
          <w:p w14:paraId="530635A5">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9</w:t>
            </w:r>
          </w:p>
        </w:tc>
        <w:tc>
          <w:tcPr>
            <w:tcW w:w="723" w:type="dxa"/>
            <w:tcBorders>
              <w:top w:val="outset" w:color="auto" w:sz="6" w:space="0"/>
              <w:left w:val="outset" w:color="auto" w:sz="6" w:space="0"/>
              <w:bottom w:val="outset" w:color="auto" w:sz="6" w:space="0"/>
              <w:right w:val="outset" w:color="auto" w:sz="6" w:space="0"/>
            </w:tcBorders>
            <w:noWrap w:val="0"/>
            <w:vAlign w:val="center"/>
          </w:tcPr>
          <w:p w14:paraId="4097BC02">
            <w:pPr>
              <w:keepNext w:val="0"/>
              <w:keepLines w:val="0"/>
              <w:widowControl/>
              <w:suppressLineNumbers w:val="0"/>
              <w:spacing w:before="0" w:beforeAutospacing="0" w:after="0" w:afterAutospacing="0" w:line="360" w:lineRule="auto"/>
              <w:ind w:left="0" w:right="0" w:firstLine="356"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8697" w:type="dxa"/>
            <w:tcBorders>
              <w:top w:val="outset" w:color="auto" w:sz="6" w:space="0"/>
              <w:left w:val="outset" w:color="auto" w:sz="6" w:space="0"/>
              <w:bottom w:val="outset" w:color="auto" w:sz="6" w:space="0"/>
              <w:right w:val="outset" w:color="auto" w:sz="6" w:space="0"/>
            </w:tcBorders>
            <w:noWrap w:val="0"/>
            <w:vAlign w:val="center"/>
          </w:tcPr>
          <w:p w14:paraId="2169E9DA">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根据投标人提供的由第三方检测机构出具的“螺丝配件”检测报告，</w:t>
            </w:r>
            <w:r>
              <w:rPr>
                <w:rFonts w:hint="eastAsia" w:ascii="宋体" w:hAnsi="宋体" w:eastAsia="宋体" w:cs="宋体"/>
                <w:color w:val="auto"/>
                <w:kern w:val="0"/>
                <w:sz w:val="24"/>
                <w:szCs w:val="24"/>
                <w:highlight w:val="none"/>
                <w:lang w:val="en-US" w:eastAsia="zh-CN" w:bidi="ar"/>
              </w:rPr>
              <w:t>检测项目内容至少包含：</w:t>
            </w:r>
          </w:p>
          <w:p w14:paraId="32E470FD">
            <w:pPr>
              <w:keepNext w:val="0"/>
              <w:keepLines w:val="0"/>
              <w:widowControl/>
              <w:suppressLineNumbers w:val="0"/>
              <w:spacing w:before="0" w:beforeAutospacing="0" w:after="0" w:afterAutospacing="0" w:line="360" w:lineRule="auto"/>
              <w:ind w:left="0" w:right="0" w:firstLine="240" w:firstLineChars="10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一、中性盐雾：（依据：QB/T3826-</w:t>
            </w:r>
            <w:r>
              <w:rPr>
                <w:rFonts w:hint="eastAsia" w:ascii="宋体" w:hAnsi="宋体" w:eastAsia="宋体" w:cs="宋体"/>
                <w:color w:val="auto"/>
                <w:kern w:val="0"/>
                <w:sz w:val="24"/>
                <w:szCs w:val="24"/>
                <w:highlight w:val="none"/>
                <w:lang w:val="en-US" w:eastAsia="zh-CN" w:bidi="ar"/>
              </w:rPr>
              <w:t>1999</w:t>
            </w:r>
            <w:r>
              <w:rPr>
                <w:rFonts w:hint="eastAsia" w:ascii="宋体" w:hAnsi="宋体" w:eastAsia="宋体" w:cs="宋体"/>
                <w:color w:val="auto"/>
                <w:kern w:val="0"/>
                <w:sz w:val="24"/>
                <w:szCs w:val="24"/>
                <w:highlight w:val="none"/>
                <w:lang w:val="en-US" w:eastAsia="zh-CN" w:bidi="ar"/>
              </w:rPr>
              <w:t>《轻工产品金属镀层和化学处理层的耐腐蚀试验方法 中性盐雾试验（NSS）法》标准要求）检测结果≥</w:t>
            </w:r>
            <w:r>
              <w:rPr>
                <w:rFonts w:hint="eastAsia" w:ascii="宋体" w:hAnsi="宋体" w:eastAsia="宋体" w:cs="宋体"/>
                <w:color w:val="auto"/>
                <w:kern w:val="0"/>
                <w:sz w:val="24"/>
                <w:szCs w:val="24"/>
                <w:highlight w:val="none"/>
                <w:lang w:val="en-US" w:eastAsia="zh-CN" w:bidi="ar"/>
              </w:rPr>
              <w:t>360小时</w:t>
            </w:r>
            <w:r>
              <w:rPr>
                <w:rFonts w:hint="eastAsia" w:ascii="宋体" w:hAnsi="宋体" w:eastAsia="宋体" w:cs="宋体"/>
                <w:color w:val="auto"/>
                <w:kern w:val="0"/>
                <w:sz w:val="24"/>
                <w:szCs w:val="24"/>
                <w:highlight w:val="none"/>
                <w:lang w:val="en-US" w:eastAsia="zh-CN" w:bidi="ar"/>
              </w:rPr>
              <w:t xml:space="preserve">中性盐雾试验（镀层本身的耐腐蚀等级≥10级，镀层对基体的保护等级≥10级）；                                         </w:t>
            </w:r>
          </w:p>
          <w:p w14:paraId="184B86AE">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 xml:space="preserve">注：须提供相关检测报告复印件并加盖投标人公章，检测报告必须附有二维码，二维码扫描结果与检测报告内容一致，同时提供检测报告在中国 国家认证认可监督管理委员会（http://www.cnca.gov.cn/）或国家市场 监督管理总局政务服务平台 </w:t>
            </w:r>
          </w:p>
          <w:p w14:paraId="78D69AA7">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http://cx.cnca.cn/CertECloud/qts/qts/qtsPage?showMode=2）的有效查询 网址，检测报告为带 CMA 或 CNAS 标识的检测机构出具的检测报告，检验报告中受检（或委托）单位应与投标人或生产厂家一致。完全满足得 3 分，其余不得分。 </w:t>
            </w:r>
          </w:p>
        </w:tc>
      </w:tr>
      <w:tr w14:paraId="53FF31B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620" w:type="dxa"/>
            <w:tcBorders>
              <w:top w:val="outset" w:color="auto" w:sz="6" w:space="0"/>
              <w:left w:val="outset" w:color="auto" w:sz="6" w:space="0"/>
              <w:bottom w:val="outset" w:color="auto" w:sz="6" w:space="0"/>
              <w:right w:val="outset" w:color="auto" w:sz="6" w:space="0"/>
            </w:tcBorders>
            <w:noWrap w:val="0"/>
            <w:vAlign w:val="center"/>
          </w:tcPr>
          <w:p w14:paraId="3B9618FF">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w:t>
            </w:r>
          </w:p>
        </w:tc>
        <w:tc>
          <w:tcPr>
            <w:tcW w:w="723" w:type="dxa"/>
            <w:tcBorders>
              <w:top w:val="outset" w:color="auto" w:sz="6" w:space="0"/>
              <w:left w:val="outset" w:color="auto" w:sz="6" w:space="0"/>
              <w:bottom w:val="outset" w:color="auto" w:sz="6" w:space="0"/>
              <w:right w:val="outset" w:color="auto" w:sz="6" w:space="0"/>
            </w:tcBorders>
            <w:noWrap w:val="0"/>
            <w:vAlign w:val="center"/>
          </w:tcPr>
          <w:p w14:paraId="1B4CDA80">
            <w:pPr>
              <w:keepNext w:val="0"/>
              <w:keepLines w:val="0"/>
              <w:widowControl/>
              <w:suppressLineNumbers w:val="0"/>
              <w:spacing w:before="0" w:beforeAutospacing="0" w:after="0" w:afterAutospacing="0" w:line="360" w:lineRule="auto"/>
              <w:ind w:left="0" w:right="0" w:firstLine="356" w:firstLineChars="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8697" w:type="dxa"/>
            <w:tcBorders>
              <w:top w:val="outset" w:color="auto" w:sz="6" w:space="0"/>
              <w:left w:val="outset" w:color="auto" w:sz="6" w:space="0"/>
              <w:bottom w:val="outset" w:color="auto" w:sz="6" w:space="0"/>
              <w:right w:val="outset" w:color="auto" w:sz="6" w:space="0"/>
            </w:tcBorders>
            <w:noWrap w:val="0"/>
            <w:vAlign w:val="center"/>
          </w:tcPr>
          <w:p w14:paraId="75F2990E">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根据投标人提供的由第三方检测机构出具的“胶合板”检测报告，</w:t>
            </w:r>
            <w:r>
              <w:rPr>
                <w:rFonts w:hint="eastAsia" w:ascii="宋体" w:hAnsi="宋体" w:eastAsia="宋体" w:cs="宋体"/>
                <w:color w:val="auto"/>
                <w:kern w:val="0"/>
                <w:sz w:val="24"/>
                <w:szCs w:val="24"/>
                <w:highlight w:val="none"/>
                <w:lang w:val="en-US" w:eastAsia="zh-CN" w:bidi="ar"/>
              </w:rPr>
              <w:t>检测项目内容至少包含：</w:t>
            </w:r>
          </w:p>
          <w:p w14:paraId="587B11B9">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一、人造板防霉性能：（依据：LY/T2230</w:t>
            </w:r>
            <w:r>
              <w:rPr>
                <w:rFonts w:hint="eastAsia" w:ascii="宋体" w:hAnsi="宋体" w:eastAsia="宋体" w:cs="宋体"/>
                <w:color w:val="auto"/>
                <w:sz w:val="24"/>
                <w:szCs w:val="24"/>
                <w:highlight w:val="none"/>
                <w:lang w:val="en-US" w:eastAsia="zh-CN"/>
              </w:rPr>
              <w:t>-2013</w:t>
            </w:r>
            <w:r>
              <w:rPr>
                <w:rFonts w:hint="eastAsia" w:ascii="宋体" w:hAnsi="宋体" w:eastAsia="宋体" w:cs="宋体"/>
                <w:color w:val="auto"/>
                <w:sz w:val="24"/>
                <w:szCs w:val="24"/>
                <w:highlight w:val="none"/>
                <w:lang w:val="en-US" w:eastAsia="zh-CN"/>
              </w:rPr>
              <w:t>《人造板防霉性能评价》标准要求）检测结果为0级（强防霉级）；</w:t>
            </w:r>
          </w:p>
          <w:p w14:paraId="5E502D09">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kern w:val="0"/>
                <w:sz w:val="24"/>
                <w:szCs w:val="24"/>
                <w:highlight w:val="none"/>
                <w:lang w:val="en-US" w:eastAsia="zh-CN" w:bidi="ar"/>
              </w:rPr>
              <w:t xml:space="preserve">注：须提供相关检测报告复印件并加盖投标人公章，检测报告必须附有二维码，二维码扫描结果与检测报告内容一致，同时提供检测报告在中国 国家认证认可监督管理委员会（http://www.cnca.gov.cn/）或国家市场 监督管理总局政务服务平台 </w:t>
            </w:r>
          </w:p>
          <w:p w14:paraId="3A78DB0B">
            <w:pPr>
              <w:keepNext w:val="0"/>
              <w:keepLines w:val="0"/>
              <w:widowControl/>
              <w:suppressLineNumbers w:val="0"/>
              <w:spacing w:before="0" w:beforeAutospacing="0" w:after="0" w:afterAutospacing="0" w:line="360" w:lineRule="auto"/>
              <w:ind w:left="0" w:right="0" w:firstLine="356" w:firstLineChars="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http://cx.cnca.cn/CertECloud/qts/qts/qtsPage?showMode=2）的查询 网址，检测报告为带 CMA 或 CNAS 标识的检测机构出具的检测报告，检验报告中受检（或委托）单位应与投标人或生产厂家一致。完全满足得 3 分，其余不得分。</w:t>
            </w:r>
          </w:p>
        </w:tc>
      </w:tr>
      <w:tr w14:paraId="15A88D9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620" w:type="dxa"/>
            <w:tcBorders>
              <w:top w:val="outset" w:color="auto" w:sz="6" w:space="0"/>
              <w:left w:val="outset" w:color="auto" w:sz="6" w:space="0"/>
              <w:bottom w:val="outset" w:color="auto" w:sz="6" w:space="0"/>
              <w:right w:val="outset" w:color="auto" w:sz="6" w:space="0"/>
            </w:tcBorders>
            <w:noWrap w:val="0"/>
            <w:vAlign w:val="center"/>
          </w:tcPr>
          <w:p w14:paraId="381ADD0E">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11</w:t>
            </w:r>
          </w:p>
        </w:tc>
        <w:tc>
          <w:tcPr>
            <w:tcW w:w="723" w:type="dxa"/>
            <w:tcBorders>
              <w:top w:val="outset" w:color="auto" w:sz="6" w:space="0"/>
              <w:left w:val="outset" w:color="auto" w:sz="6" w:space="0"/>
              <w:bottom w:val="outset" w:color="auto" w:sz="6" w:space="0"/>
              <w:right w:val="outset" w:color="auto" w:sz="6" w:space="0"/>
            </w:tcBorders>
            <w:noWrap w:val="0"/>
            <w:vAlign w:val="center"/>
          </w:tcPr>
          <w:p w14:paraId="1D168426">
            <w:pPr>
              <w:keepNext w:val="0"/>
              <w:keepLines w:val="0"/>
              <w:widowControl/>
              <w:suppressLineNumbers w:val="0"/>
              <w:spacing w:before="0" w:beforeAutospacing="0" w:after="0" w:afterAutospacing="0" w:line="360" w:lineRule="auto"/>
              <w:ind w:left="0" w:right="0" w:firstLine="356" w:firstLineChars="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8697" w:type="dxa"/>
            <w:tcBorders>
              <w:top w:val="outset" w:color="auto" w:sz="6" w:space="0"/>
              <w:left w:val="outset" w:color="auto" w:sz="6" w:space="0"/>
              <w:bottom w:val="outset" w:color="auto" w:sz="6" w:space="0"/>
              <w:right w:val="outset" w:color="auto" w:sz="6" w:space="0"/>
            </w:tcBorders>
            <w:noWrap w:val="0"/>
            <w:vAlign w:val="center"/>
          </w:tcPr>
          <w:p w14:paraId="1E6A59EC">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根据投标人提供的由第三方检测机构出具的“多功能安全护栏”检测报告，</w:t>
            </w:r>
            <w:r>
              <w:rPr>
                <w:rFonts w:hint="eastAsia" w:ascii="宋体" w:hAnsi="宋体" w:eastAsia="宋体" w:cs="宋体"/>
                <w:color w:val="auto"/>
                <w:kern w:val="0"/>
                <w:sz w:val="24"/>
                <w:szCs w:val="24"/>
                <w:highlight w:val="none"/>
                <w:lang w:val="en-US" w:eastAsia="zh-CN" w:bidi="ar"/>
              </w:rPr>
              <w:t>检测项目内容至少包含：</w:t>
            </w:r>
          </w:p>
          <w:p w14:paraId="125DB408">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一、有机挥发物总含量（TVOC）（依据：GB/T37866</w:t>
            </w:r>
            <w:r>
              <w:rPr>
                <w:rFonts w:hint="eastAsia" w:ascii="宋体" w:hAnsi="宋体" w:eastAsia="宋体" w:cs="宋体"/>
                <w:color w:val="auto"/>
                <w:sz w:val="24"/>
                <w:szCs w:val="24"/>
                <w:highlight w:val="none"/>
                <w:lang w:val="en-US" w:eastAsia="zh-CN"/>
              </w:rPr>
              <w:t>-2019</w:t>
            </w:r>
            <w:r>
              <w:rPr>
                <w:rFonts w:hint="eastAsia" w:ascii="宋体" w:hAnsi="宋体" w:eastAsia="宋体" w:cs="宋体"/>
                <w:color w:val="auto"/>
                <w:sz w:val="24"/>
                <w:szCs w:val="24"/>
                <w:highlight w:val="none"/>
                <w:lang w:val="en-US" w:eastAsia="zh-CN"/>
              </w:rPr>
              <w:t xml:space="preserve">《绿色产品评价 塑料制品》标准要求）：≤50mg/kg。 </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二、耐盐雾性</w:t>
            </w:r>
            <w:r>
              <w:rPr>
                <w:rFonts w:hint="eastAsia" w:ascii="宋体" w:hAnsi="宋体" w:eastAsia="宋体" w:cs="宋体"/>
                <w:color w:val="auto"/>
                <w:kern w:val="0"/>
                <w:sz w:val="24"/>
                <w:szCs w:val="24"/>
                <w:highlight w:val="none"/>
                <w:lang w:val="en-US" w:eastAsia="zh-CN" w:bidi="ar"/>
              </w:rPr>
              <w:t>≥360小时</w:t>
            </w:r>
            <w:r>
              <w:rPr>
                <w:rFonts w:hint="eastAsia" w:ascii="宋体" w:hAnsi="宋体" w:eastAsia="宋体" w:cs="宋体"/>
                <w:color w:val="auto"/>
                <w:sz w:val="24"/>
                <w:szCs w:val="24"/>
                <w:highlight w:val="none"/>
                <w:lang w:val="en-US" w:eastAsia="zh-CN"/>
              </w:rPr>
              <w:t>（依据：GB/T12000</w:t>
            </w:r>
            <w:r>
              <w:rPr>
                <w:rFonts w:hint="eastAsia" w:ascii="宋体" w:hAnsi="宋体" w:eastAsia="宋体" w:cs="宋体"/>
                <w:color w:val="auto"/>
                <w:sz w:val="24"/>
                <w:szCs w:val="24"/>
                <w:highlight w:val="none"/>
                <w:lang w:val="en-US" w:eastAsia="zh-CN"/>
              </w:rPr>
              <w:t>-2017</w:t>
            </w:r>
            <w:r>
              <w:rPr>
                <w:rFonts w:hint="eastAsia" w:ascii="宋体" w:hAnsi="宋体" w:eastAsia="宋体" w:cs="宋体"/>
                <w:color w:val="auto"/>
                <w:sz w:val="24"/>
                <w:szCs w:val="24"/>
                <w:highlight w:val="none"/>
                <w:lang w:val="en-US" w:eastAsia="zh-CN"/>
              </w:rPr>
              <w:t>《塑料 暴露于湿热、水喷雾和盐雾中影响的测定》标准要求）。</w:t>
            </w:r>
          </w:p>
          <w:p w14:paraId="453909FE">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①、外观：无开裂、起泡；②、质量变化率：≤2%；③、厚度变化率：≤2%</w:t>
            </w:r>
          </w:p>
          <w:p w14:paraId="6FBEB0FB">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三、恒温恒湿试验（360h）：（依据： GB/T2423.3-</w:t>
            </w:r>
            <w:r>
              <w:rPr>
                <w:rFonts w:hint="eastAsia" w:ascii="宋体" w:hAnsi="宋体" w:eastAsia="宋体" w:cs="宋体"/>
                <w:color w:val="auto"/>
                <w:sz w:val="24"/>
                <w:szCs w:val="24"/>
                <w:highlight w:val="none"/>
                <w:lang w:val="en-US" w:eastAsia="zh-CN"/>
              </w:rPr>
              <w:t>2016</w:t>
            </w:r>
            <w:r>
              <w:rPr>
                <w:rFonts w:hint="eastAsia" w:ascii="宋体" w:hAnsi="宋体" w:eastAsia="宋体" w:cs="宋体"/>
                <w:color w:val="auto"/>
                <w:sz w:val="24"/>
                <w:szCs w:val="24"/>
                <w:highlight w:val="none"/>
                <w:lang w:val="en-US" w:eastAsia="zh-CN"/>
              </w:rPr>
              <w:t xml:space="preserve">《环境试验 第2部分：试验方法 试验Cab：恒定湿热试验》标准要求）：试验后，试样表面应无开裂；                                                         注：须提供相关检测报告复印件并加盖投标人公章，检测报告必须附有二维码，二维码扫描结果与检测报告内容一致，同时提供检测报告在中国 国家认证认可监督管理委员会（http://www.cnca.gov.cn/）或国家市场 监督管理总局政务服务平台 </w:t>
            </w:r>
          </w:p>
          <w:p w14:paraId="77CFE7F4">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sz w:val="24"/>
                <w:szCs w:val="24"/>
                <w:highlight w:val="none"/>
                <w:lang w:val="en-US" w:eastAsia="zh-CN"/>
              </w:rPr>
              <w:t>http://cx.cnca.cn/CertECloud/qts/qts/qtsPage?showMode=2）的有效查询 网址，检测报告为带 CMA 或 CNAS 标识的检测机构出具的检测报告，检验报告中受检（或委托）单位应与投标人或生产厂家一致。完全满足得 3 分，其余不得分。</w:t>
            </w:r>
          </w:p>
        </w:tc>
      </w:tr>
      <w:tr w14:paraId="21B163B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620" w:type="dxa"/>
            <w:tcBorders>
              <w:top w:val="outset" w:color="auto" w:sz="6" w:space="0"/>
              <w:left w:val="outset" w:color="auto" w:sz="6" w:space="0"/>
              <w:bottom w:val="outset" w:color="auto" w:sz="6" w:space="0"/>
              <w:right w:val="outset" w:color="auto" w:sz="6" w:space="0"/>
            </w:tcBorders>
            <w:noWrap w:val="0"/>
            <w:vAlign w:val="center"/>
          </w:tcPr>
          <w:p w14:paraId="6C983784">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w:t>
            </w:r>
          </w:p>
        </w:tc>
        <w:tc>
          <w:tcPr>
            <w:tcW w:w="723" w:type="dxa"/>
            <w:tcBorders>
              <w:top w:val="outset" w:color="auto" w:sz="6" w:space="0"/>
              <w:left w:val="outset" w:color="auto" w:sz="6" w:space="0"/>
              <w:bottom w:val="outset" w:color="auto" w:sz="6" w:space="0"/>
              <w:right w:val="outset" w:color="auto" w:sz="6" w:space="0"/>
            </w:tcBorders>
            <w:noWrap w:val="0"/>
            <w:vAlign w:val="center"/>
          </w:tcPr>
          <w:p w14:paraId="0E1E8C24">
            <w:pPr>
              <w:keepNext w:val="0"/>
              <w:keepLines w:val="0"/>
              <w:widowControl/>
              <w:suppressLineNumbers w:val="0"/>
              <w:spacing w:before="0" w:beforeAutospacing="0" w:after="0" w:afterAutospacing="0" w:line="360" w:lineRule="auto"/>
              <w:ind w:left="0" w:right="0" w:firstLine="356"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8697" w:type="dxa"/>
            <w:tcBorders>
              <w:top w:val="outset" w:color="auto" w:sz="6" w:space="0"/>
              <w:left w:val="outset" w:color="auto" w:sz="6" w:space="0"/>
              <w:bottom w:val="outset" w:color="auto" w:sz="6" w:space="0"/>
              <w:right w:val="outset" w:color="auto" w:sz="6" w:space="0"/>
            </w:tcBorders>
            <w:noWrap w:val="0"/>
            <w:vAlign w:val="center"/>
          </w:tcPr>
          <w:p w14:paraId="367DF173">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根据投标人提供</w:t>
            </w:r>
            <w:r>
              <w:rPr>
                <w:rFonts w:hint="eastAsia" w:ascii="宋体" w:hAnsi="宋体" w:eastAsia="宋体" w:cs="宋体"/>
                <w:color w:val="auto"/>
                <w:sz w:val="24"/>
                <w:szCs w:val="24"/>
                <w:highlight w:val="none"/>
                <w:lang w:val="en-US" w:eastAsia="zh-CN"/>
              </w:rPr>
              <w:t>的由</w:t>
            </w:r>
            <w:r>
              <w:rPr>
                <w:rFonts w:hint="eastAsia" w:ascii="宋体" w:hAnsi="宋体" w:eastAsia="宋体" w:cs="宋体"/>
                <w:color w:val="auto"/>
                <w:sz w:val="24"/>
                <w:szCs w:val="24"/>
                <w:highlight w:val="none"/>
              </w:rPr>
              <w:t>第三方检测机构出具的“木塑衣柜门板”检测报告，检测项目内容至少包含：</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lang w:val="en-US" w:eastAsia="zh-CN"/>
              </w:rPr>
              <w:t xml:space="preserve"> 一、甲醛（依据：GB4806.12-2022《食品安全国家标准 食品接触用竹木材料及制品》≤15mg/kg。</w:t>
            </w:r>
          </w:p>
          <w:p w14:paraId="6A260266">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二、恒温恒湿试验（360h）：（依据： GB/T2423.3</w:t>
            </w:r>
            <w:r>
              <w:rPr>
                <w:rFonts w:hint="eastAsia" w:ascii="宋体" w:hAnsi="宋体" w:eastAsia="宋体" w:cs="宋体"/>
                <w:color w:val="auto"/>
                <w:sz w:val="24"/>
                <w:szCs w:val="24"/>
                <w:highlight w:val="none"/>
                <w:lang w:val="en-US" w:eastAsia="zh-CN"/>
              </w:rPr>
              <w:t>-2016</w:t>
            </w:r>
            <w:r>
              <w:rPr>
                <w:rFonts w:hint="eastAsia" w:ascii="宋体" w:hAnsi="宋体" w:eastAsia="宋体" w:cs="宋体"/>
                <w:color w:val="auto"/>
                <w:sz w:val="24"/>
                <w:szCs w:val="24"/>
                <w:highlight w:val="none"/>
                <w:lang w:val="en-US" w:eastAsia="zh-CN"/>
              </w:rPr>
              <w:t>《环境试验 第2部分：试验方法 试验Cab：恒定湿热试验》标准要求）：试验后，试样表面应无开裂；</w:t>
            </w:r>
          </w:p>
          <w:p w14:paraId="150239F0">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三、温度/湿度组合循环试验360h：（依据：GB/T2423.34-</w:t>
            </w:r>
            <w:r>
              <w:rPr>
                <w:rFonts w:hint="eastAsia" w:ascii="宋体" w:hAnsi="宋体" w:eastAsia="宋体" w:cs="宋体"/>
                <w:color w:val="auto"/>
                <w:sz w:val="24"/>
                <w:szCs w:val="24"/>
                <w:highlight w:val="none"/>
                <w:lang w:val="en-US" w:eastAsia="zh-CN"/>
              </w:rPr>
              <w:t>2012</w:t>
            </w:r>
            <w:r>
              <w:rPr>
                <w:rFonts w:hint="eastAsia" w:ascii="宋体" w:hAnsi="宋体" w:eastAsia="宋体" w:cs="宋体"/>
                <w:color w:val="auto"/>
                <w:sz w:val="24"/>
                <w:szCs w:val="24"/>
                <w:highlight w:val="none"/>
                <w:lang w:val="en-US" w:eastAsia="zh-CN"/>
              </w:rPr>
              <w:t>《环境试验 第2部分：试验方法 试验Z/AD：温度/湿度组合循环试验》）：试验后，试样表面应无开裂</w:t>
            </w:r>
            <w:r>
              <w:rPr>
                <w:rFonts w:hint="eastAsia" w:ascii="宋体" w:hAnsi="宋体" w:eastAsia="宋体" w:cs="宋体"/>
                <w:color w:val="auto"/>
                <w:kern w:val="0"/>
                <w:sz w:val="24"/>
                <w:szCs w:val="24"/>
                <w:highlight w:val="none"/>
                <w:lang w:val="en-US" w:eastAsia="zh-CN" w:bidi="ar"/>
              </w:rPr>
              <w:t>。</w:t>
            </w:r>
          </w:p>
          <w:p w14:paraId="62880D9D">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 xml:space="preserve">注：须提供相关检测报告复印件并加盖投标人公章，检测报告必须附有二维码，二维码扫描结果与检测报告内容一致，同时提供检测报告在中国 国家认证认可监督管理委员会（http://www.cnca.gov.cn/）或国家市场 监督管理总局政务服务平台 </w:t>
            </w:r>
          </w:p>
          <w:p w14:paraId="513CB781">
            <w:pPr>
              <w:keepNext w:val="0"/>
              <w:keepLines w:val="0"/>
              <w:widowControl/>
              <w:suppressLineNumbers w:val="0"/>
              <w:spacing w:before="0" w:beforeAutospacing="0" w:after="0" w:afterAutospacing="0" w:line="360" w:lineRule="auto"/>
              <w:ind w:left="0" w:right="0" w:firstLine="356" w:firstLine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http://cx.cnca.cn/CertECloud/qts/qts/qtsPage?showMode=2）的有效查询 网址，检测报告为带 CMA 或 CNAS 标识的检测机构出具的检测报告，检验 报告中受检（或委托）单位应与投标人或生产厂家一致。完全满足得 3 分，其余不得分。</w:t>
            </w:r>
          </w:p>
        </w:tc>
      </w:tr>
      <w:tr w14:paraId="1A3E4A6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620" w:type="dxa"/>
            <w:tcBorders>
              <w:top w:val="outset" w:color="auto" w:sz="6" w:space="0"/>
              <w:left w:val="outset" w:color="auto" w:sz="6" w:space="0"/>
              <w:bottom w:val="outset" w:color="auto" w:sz="6" w:space="0"/>
              <w:right w:val="outset" w:color="auto" w:sz="6" w:space="0"/>
            </w:tcBorders>
            <w:noWrap w:val="0"/>
            <w:vAlign w:val="center"/>
          </w:tcPr>
          <w:p w14:paraId="08DB1324">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w:t>
            </w:r>
          </w:p>
        </w:tc>
        <w:tc>
          <w:tcPr>
            <w:tcW w:w="723" w:type="dxa"/>
            <w:tcBorders>
              <w:top w:val="outset" w:color="auto" w:sz="6" w:space="0"/>
              <w:left w:val="outset" w:color="auto" w:sz="6" w:space="0"/>
              <w:bottom w:val="outset" w:color="auto" w:sz="6" w:space="0"/>
              <w:right w:val="outset" w:color="auto" w:sz="6" w:space="0"/>
            </w:tcBorders>
            <w:noWrap w:val="0"/>
            <w:vAlign w:val="center"/>
          </w:tcPr>
          <w:p w14:paraId="500BCC64">
            <w:pPr>
              <w:keepNext w:val="0"/>
              <w:keepLines w:val="0"/>
              <w:widowControl/>
              <w:suppressLineNumbers w:val="0"/>
              <w:spacing w:before="0" w:beforeAutospacing="0" w:after="0" w:afterAutospacing="0" w:line="360" w:lineRule="auto"/>
              <w:ind w:left="0" w:right="0" w:firstLine="356"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8697" w:type="dxa"/>
            <w:tcBorders>
              <w:top w:val="outset" w:color="auto" w:sz="6" w:space="0"/>
              <w:left w:val="outset" w:color="auto" w:sz="6" w:space="0"/>
              <w:bottom w:val="outset" w:color="auto" w:sz="6" w:space="0"/>
              <w:right w:val="outset" w:color="auto" w:sz="6" w:space="0"/>
            </w:tcBorders>
            <w:noWrap w:val="0"/>
            <w:vAlign w:val="center"/>
          </w:tcPr>
          <w:p w14:paraId="297B8AC1">
            <w:pPr>
              <w:keepNext w:val="0"/>
              <w:keepLines w:val="0"/>
              <w:widowControl/>
              <w:suppressLineNumbers w:val="0"/>
              <w:spacing w:before="0" w:beforeAutospacing="0" w:after="0" w:afterAutospacing="0" w:line="360" w:lineRule="auto"/>
              <w:ind w:left="0" w:right="0" w:firstLine="356" w:firstLine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根据投标人提供</w:t>
            </w:r>
            <w:r>
              <w:rPr>
                <w:rFonts w:hint="eastAsia" w:ascii="宋体" w:hAnsi="宋体" w:eastAsia="宋体" w:cs="宋体"/>
                <w:color w:val="auto"/>
                <w:sz w:val="24"/>
                <w:szCs w:val="24"/>
                <w:highlight w:val="none"/>
                <w:lang w:val="en-US" w:eastAsia="zh-CN"/>
              </w:rPr>
              <w:t>的由</w:t>
            </w:r>
            <w:r>
              <w:rPr>
                <w:rFonts w:hint="eastAsia" w:ascii="宋体" w:hAnsi="宋体" w:eastAsia="宋体" w:cs="宋体"/>
                <w:color w:val="auto"/>
                <w:sz w:val="24"/>
                <w:szCs w:val="24"/>
                <w:highlight w:val="none"/>
              </w:rPr>
              <w:t>第三方检测机构出具的“注塑走梯踩面”检测报告，检测项目内容至少包含：</w:t>
            </w:r>
          </w:p>
          <w:p w14:paraId="738CB180">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一、有机挥发物总含量（TVOC）（依据：GB/T37866</w:t>
            </w:r>
            <w:r>
              <w:rPr>
                <w:rFonts w:hint="eastAsia" w:ascii="宋体" w:hAnsi="宋体" w:eastAsia="宋体" w:cs="宋体"/>
                <w:color w:val="auto"/>
                <w:sz w:val="24"/>
                <w:szCs w:val="24"/>
                <w:highlight w:val="none"/>
                <w:lang w:val="en-US" w:eastAsia="zh-CN"/>
              </w:rPr>
              <w:t>-2019</w:t>
            </w:r>
            <w:r>
              <w:rPr>
                <w:rFonts w:hint="eastAsia" w:ascii="宋体" w:hAnsi="宋体" w:eastAsia="宋体" w:cs="宋体"/>
                <w:color w:val="auto"/>
                <w:sz w:val="24"/>
                <w:szCs w:val="24"/>
                <w:highlight w:val="none"/>
                <w:lang w:val="en-US" w:eastAsia="zh-CN"/>
              </w:rPr>
              <w:t>《绿色产品评价 塑料制品》标准要求）≤50mg/kg；</w:t>
            </w:r>
          </w:p>
          <w:p w14:paraId="601C698F">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二、恒温恒湿试验（360h）：（依据： GB/T2423.3</w:t>
            </w:r>
            <w:r>
              <w:rPr>
                <w:rFonts w:hint="eastAsia" w:ascii="宋体" w:hAnsi="宋体" w:eastAsia="宋体" w:cs="宋体"/>
                <w:color w:val="auto"/>
                <w:sz w:val="24"/>
                <w:szCs w:val="24"/>
                <w:highlight w:val="none"/>
                <w:lang w:val="en-US" w:eastAsia="zh-CN"/>
              </w:rPr>
              <w:t>-2016</w:t>
            </w:r>
            <w:r>
              <w:rPr>
                <w:rFonts w:hint="eastAsia" w:ascii="宋体" w:hAnsi="宋体" w:eastAsia="宋体" w:cs="宋体"/>
                <w:color w:val="auto"/>
                <w:sz w:val="24"/>
                <w:szCs w:val="24"/>
                <w:highlight w:val="none"/>
                <w:lang w:val="en-US" w:eastAsia="zh-CN"/>
              </w:rPr>
              <w:t>《环境试验 第2部分：试验方法 试验Cab：恒定湿热试验》标准要求）：试验后，试样表面应无开裂；</w:t>
            </w:r>
          </w:p>
          <w:p w14:paraId="69EE9C88">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 xml:space="preserve">注：须提供相关检测报告复印件并加盖投标人公章，检测报告必须附有二维码，二维码扫描结果与检测报告内容一致，同时提供检测报告在中国 国家认证认可监督管理委员会（http://www.cnca.gov.cn/）或国家市场 监督管理总局政务服务平台 </w:t>
            </w:r>
          </w:p>
          <w:p w14:paraId="7F6C902B">
            <w:pPr>
              <w:keepNext w:val="0"/>
              <w:keepLines w:val="0"/>
              <w:widowControl/>
              <w:suppressLineNumbers w:val="0"/>
              <w:spacing w:before="0" w:beforeAutospacing="0" w:after="0" w:afterAutospacing="0" w:line="360" w:lineRule="auto"/>
              <w:ind w:left="0" w:right="0" w:firstLine="356" w:firstLine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http://cx.cnca.cn/CertECloud/qts/qts/qtsPage?showMode=2）的有效查询 网址，检测报告为带 CMA 或 CNAS 标识的检测机构出具的检测报告，检验 报告中受检（或委托）单位应与投标人或生产厂家一致。完全满足得 3 分，其余不得分。</w:t>
            </w:r>
          </w:p>
        </w:tc>
      </w:tr>
      <w:tr w14:paraId="31D5046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620" w:type="dxa"/>
            <w:tcBorders>
              <w:top w:val="outset" w:color="auto" w:sz="6" w:space="0"/>
              <w:left w:val="outset" w:color="auto" w:sz="6" w:space="0"/>
              <w:bottom w:val="outset" w:color="auto" w:sz="6" w:space="0"/>
              <w:right w:val="outset" w:color="auto" w:sz="6" w:space="0"/>
            </w:tcBorders>
            <w:noWrap w:val="0"/>
            <w:vAlign w:val="center"/>
          </w:tcPr>
          <w:p w14:paraId="4AC79240">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w:t>
            </w:r>
          </w:p>
        </w:tc>
        <w:tc>
          <w:tcPr>
            <w:tcW w:w="723" w:type="dxa"/>
            <w:tcBorders>
              <w:top w:val="outset" w:color="auto" w:sz="6" w:space="0"/>
              <w:left w:val="outset" w:color="auto" w:sz="6" w:space="0"/>
              <w:bottom w:val="outset" w:color="auto" w:sz="6" w:space="0"/>
              <w:right w:val="outset" w:color="auto" w:sz="6" w:space="0"/>
            </w:tcBorders>
            <w:noWrap w:val="0"/>
            <w:vAlign w:val="center"/>
          </w:tcPr>
          <w:p w14:paraId="5B8A28BB">
            <w:pPr>
              <w:keepNext w:val="0"/>
              <w:keepLines w:val="0"/>
              <w:widowControl/>
              <w:suppressLineNumbers w:val="0"/>
              <w:spacing w:before="0" w:beforeAutospacing="0" w:after="0" w:afterAutospacing="0" w:line="360" w:lineRule="auto"/>
              <w:ind w:left="0" w:right="0" w:firstLine="356"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8697" w:type="dxa"/>
            <w:tcBorders>
              <w:top w:val="outset" w:color="auto" w:sz="6" w:space="0"/>
              <w:left w:val="outset" w:color="auto" w:sz="6" w:space="0"/>
              <w:bottom w:val="outset" w:color="auto" w:sz="6" w:space="0"/>
              <w:right w:val="outset" w:color="auto" w:sz="6" w:space="0"/>
            </w:tcBorders>
            <w:noWrap w:val="0"/>
            <w:vAlign w:val="center"/>
          </w:tcPr>
          <w:p w14:paraId="02387EC4">
            <w:pPr>
              <w:keepNext w:val="0"/>
              <w:keepLines w:val="0"/>
              <w:widowControl/>
              <w:suppressLineNumbers w:val="0"/>
              <w:spacing w:before="0" w:beforeAutospacing="0" w:after="0" w:afterAutospacing="0" w:line="360" w:lineRule="auto"/>
              <w:ind w:left="0" w:right="0" w:firstLine="356" w:firstLine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根据投标人提供</w:t>
            </w:r>
            <w:r>
              <w:rPr>
                <w:rFonts w:hint="eastAsia" w:ascii="宋体" w:hAnsi="宋体" w:eastAsia="宋体" w:cs="宋体"/>
                <w:color w:val="auto"/>
                <w:sz w:val="24"/>
                <w:szCs w:val="24"/>
                <w:highlight w:val="none"/>
                <w:lang w:val="en-US" w:eastAsia="zh-CN"/>
              </w:rPr>
              <w:t>的由</w:t>
            </w:r>
            <w:r>
              <w:rPr>
                <w:rFonts w:hint="eastAsia" w:ascii="宋体" w:hAnsi="宋体" w:eastAsia="宋体" w:cs="宋体"/>
                <w:color w:val="auto"/>
                <w:sz w:val="24"/>
                <w:szCs w:val="24"/>
                <w:highlight w:val="none"/>
              </w:rPr>
              <w:t>第三方检测机构出具的“布料”检测报告，检测项目内容至少包含：</w:t>
            </w:r>
          </w:p>
          <w:p w14:paraId="260C78A7">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一、纺织品防霉性能的评价：（依据：GB/T24346</w:t>
            </w:r>
            <w:r>
              <w:rPr>
                <w:rFonts w:hint="eastAsia" w:ascii="宋体" w:hAnsi="宋体" w:eastAsia="宋体" w:cs="宋体"/>
                <w:color w:val="auto"/>
                <w:sz w:val="24"/>
                <w:szCs w:val="24"/>
                <w:highlight w:val="none"/>
                <w:lang w:val="en-US" w:eastAsia="zh-CN"/>
              </w:rPr>
              <w:t>-2009</w:t>
            </w:r>
            <w:r>
              <w:rPr>
                <w:rFonts w:hint="eastAsia" w:ascii="宋体" w:hAnsi="宋体" w:eastAsia="宋体" w:cs="宋体"/>
                <w:color w:val="auto"/>
                <w:sz w:val="24"/>
                <w:szCs w:val="24"/>
                <w:highlight w:val="none"/>
                <w:lang w:val="en-US" w:eastAsia="zh-CN"/>
              </w:rPr>
              <w:t>《纺织品 防霉性能的评价》标准要求）检测结果为0级（强防霉级）；</w:t>
            </w:r>
          </w:p>
          <w:p w14:paraId="27EB4FA5">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 xml:space="preserve">注：须提供相关检测报告复印件并加盖投标人公章，检测报告必须附有二维码，二维码扫描结果与检测报告内容一致，同时提供检测报告在中国 国家认证认可监督管理委员会（http://www.cnca.gov.cn/）或国家市场 监督管理总局政务服务平台 </w:t>
            </w:r>
          </w:p>
          <w:p w14:paraId="3FB1BF7A">
            <w:pPr>
              <w:keepNext w:val="0"/>
              <w:keepLines w:val="0"/>
              <w:widowControl/>
              <w:suppressLineNumbers w:val="0"/>
              <w:spacing w:before="0" w:beforeAutospacing="0" w:after="0" w:afterAutospacing="0" w:line="360" w:lineRule="auto"/>
              <w:ind w:left="0" w:right="0" w:firstLine="356" w:firstLine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http://cx.cnca.cn/CertECloud/qts/qts/qtsPage?showMode=2）的有效查询 网址，检测报告为带 CMA 或 CNAS 标识的检测机构出具的检测报告，检验报告中受检（或委托）单位应与投标人或生产厂家一致。完全满足得 3 分，其余不得分。</w:t>
            </w:r>
          </w:p>
        </w:tc>
      </w:tr>
      <w:tr w14:paraId="462A306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620" w:type="dxa"/>
            <w:tcBorders>
              <w:top w:val="outset" w:color="auto" w:sz="6" w:space="0"/>
              <w:left w:val="outset" w:color="auto" w:sz="6" w:space="0"/>
              <w:bottom w:val="outset" w:color="auto" w:sz="6" w:space="0"/>
              <w:right w:val="outset" w:color="auto" w:sz="6" w:space="0"/>
            </w:tcBorders>
            <w:noWrap w:val="0"/>
            <w:vAlign w:val="center"/>
          </w:tcPr>
          <w:p w14:paraId="6C4FDC13">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w:t>
            </w:r>
          </w:p>
        </w:tc>
        <w:tc>
          <w:tcPr>
            <w:tcW w:w="723" w:type="dxa"/>
            <w:tcBorders>
              <w:top w:val="outset" w:color="auto" w:sz="6" w:space="0"/>
              <w:left w:val="outset" w:color="auto" w:sz="6" w:space="0"/>
              <w:bottom w:val="outset" w:color="auto" w:sz="6" w:space="0"/>
              <w:right w:val="outset" w:color="auto" w:sz="6" w:space="0"/>
            </w:tcBorders>
            <w:noWrap w:val="0"/>
            <w:vAlign w:val="center"/>
          </w:tcPr>
          <w:p w14:paraId="1D823A06">
            <w:pPr>
              <w:keepNext w:val="0"/>
              <w:keepLines w:val="0"/>
              <w:widowControl/>
              <w:suppressLineNumbers w:val="0"/>
              <w:spacing w:before="0" w:beforeAutospacing="0" w:after="0" w:afterAutospacing="0" w:line="360" w:lineRule="auto"/>
              <w:ind w:left="0" w:right="0" w:firstLine="356"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8697" w:type="dxa"/>
            <w:tcBorders>
              <w:top w:val="outset" w:color="auto" w:sz="6" w:space="0"/>
              <w:left w:val="outset" w:color="auto" w:sz="6" w:space="0"/>
              <w:bottom w:val="outset" w:color="auto" w:sz="6" w:space="0"/>
              <w:right w:val="outset" w:color="auto" w:sz="6" w:space="0"/>
            </w:tcBorders>
            <w:noWrap w:val="0"/>
            <w:vAlign w:val="center"/>
          </w:tcPr>
          <w:p w14:paraId="3F6883D7">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根据投标人提供的由第三方检测机构出具的“组合公寓床（钢木塑）”检测报告，检测项目内容至少包含：</w:t>
            </w:r>
          </w:p>
          <w:p w14:paraId="3A094758">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一、有机挥发物总含量（依据：GB/T37866-2019《绿色产品评价 塑料制品》） ＜50mg/kg；</w:t>
            </w:r>
          </w:p>
          <w:p w14:paraId="5E1BAF8F">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二、疲劳试验1000000次（依据：GB/T3075-2021《金属材料 疲劳试验 轴向力控制方法》标准要求）：目测无裂纹，试样未断裂；</w:t>
            </w:r>
          </w:p>
          <w:p w14:paraId="07328069">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三、72h二氧化硫腐蚀试验（依据：GB/T2423.51-2020 《环境试验 第2部分：试验方法试验Ke：流动混合气体腐蚀试验》标准要求）：72h二氧化硫腐蚀试验后，样品表面未出现红锈；</w:t>
            </w:r>
          </w:p>
          <w:p w14:paraId="0533384F">
            <w:pPr>
              <w:keepNext w:val="0"/>
              <w:keepLines w:val="0"/>
              <w:widowControl/>
              <w:numPr>
                <w:ilvl w:val="0"/>
                <w:numId w:val="0"/>
              </w:numPr>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四、焊缝无损等级（依据：GB/T11345-2023《焊缝无损检测 超声检测 技术、检测等级和评定》标准要求）：B级； </w:t>
            </w:r>
          </w:p>
          <w:p w14:paraId="2417087A">
            <w:pPr>
              <w:keepNext w:val="0"/>
              <w:keepLines w:val="0"/>
              <w:widowControl/>
              <w:numPr>
                <w:ilvl w:val="0"/>
                <w:numId w:val="0"/>
              </w:numPr>
              <w:suppressLineNumbers w:val="0"/>
              <w:spacing w:before="0" w:beforeAutospacing="0" w:after="0" w:afterAutospacing="0" w:line="360" w:lineRule="auto"/>
              <w:ind w:left="0" w:right="0"/>
              <w:jc w:val="left"/>
              <w:rPr>
                <w:rFonts w:hint="default"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 xml:space="preserve">注：须提供相关检测报告复印件并加盖投标人公章，检测报告必须附有二维码，二维码扫描结果与检测报告内容一致，同时提供检测报告在中国 国家认证认可监督管理委员会（http://www.cnca.gov.cn/）或国家市场 监督管理总局政务服务平台 </w:t>
            </w:r>
          </w:p>
          <w:p w14:paraId="1D38AF80">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http://cx.cnca.cn/CertECloud/qts/qts/qtsPage?showMode=2）的有效查询 网址，检测报告为带 CMA 或 CNAS 标识的检测机构出具的检测报告，检验报告中受检（或委托）单位应与投标人或生产厂家一致。完全满足得 3 分，其余不得分。</w:t>
            </w:r>
          </w:p>
        </w:tc>
      </w:tr>
      <w:tr w14:paraId="6F0AB1E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620" w:type="dxa"/>
            <w:vMerge w:val="restart"/>
            <w:tcBorders>
              <w:top w:val="outset" w:color="auto" w:sz="6" w:space="0"/>
              <w:left w:val="outset" w:color="auto" w:sz="6" w:space="0"/>
              <w:right w:val="outset" w:color="auto" w:sz="6" w:space="0"/>
            </w:tcBorders>
            <w:noWrap w:val="0"/>
            <w:vAlign w:val="center"/>
          </w:tcPr>
          <w:p w14:paraId="7474669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16</w:t>
            </w:r>
          </w:p>
          <w:p w14:paraId="59AF52E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样品评分</w:t>
            </w:r>
          </w:p>
        </w:tc>
        <w:tc>
          <w:tcPr>
            <w:tcW w:w="723" w:type="dxa"/>
            <w:tcBorders>
              <w:top w:val="outset" w:color="auto" w:sz="6" w:space="0"/>
              <w:left w:val="outset" w:color="auto" w:sz="6" w:space="0"/>
              <w:right w:val="outset" w:color="auto" w:sz="6" w:space="0"/>
            </w:tcBorders>
            <w:noWrap w:val="0"/>
            <w:vAlign w:val="center"/>
          </w:tcPr>
          <w:p w14:paraId="724E5B60">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w:t>
            </w:r>
          </w:p>
        </w:tc>
        <w:tc>
          <w:tcPr>
            <w:tcW w:w="8697" w:type="dxa"/>
            <w:tcBorders>
              <w:top w:val="outset" w:color="auto" w:sz="6" w:space="0"/>
              <w:left w:val="outset" w:color="auto" w:sz="6" w:space="0"/>
              <w:bottom w:val="outset" w:color="auto" w:sz="6" w:space="0"/>
              <w:right w:val="outset" w:color="auto" w:sz="6" w:space="0"/>
            </w:tcBorders>
            <w:noWrap w:val="0"/>
            <w:vAlign w:val="center"/>
          </w:tcPr>
          <w:p w14:paraId="595B85B6">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据投标人提供的样品的质量情况进行评价：样品焊接接缝，不容易变形的得2分；样品有细微变形得1.5分。样品存在较大缺陷或不符合项目需求的不得分。</w:t>
            </w:r>
          </w:p>
        </w:tc>
      </w:tr>
      <w:tr w14:paraId="48AF86B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620" w:type="dxa"/>
            <w:vMerge w:val="continue"/>
            <w:tcBorders>
              <w:left w:val="outset" w:color="auto" w:sz="6" w:space="0"/>
              <w:right w:val="outset" w:color="auto" w:sz="6" w:space="0"/>
            </w:tcBorders>
            <w:noWrap w:val="0"/>
            <w:vAlign w:val="center"/>
          </w:tcPr>
          <w:p w14:paraId="4C313860">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p>
        </w:tc>
        <w:tc>
          <w:tcPr>
            <w:tcW w:w="723" w:type="dxa"/>
            <w:tcBorders>
              <w:left w:val="outset" w:color="auto" w:sz="6" w:space="0"/>
              <w:right w:val="outset" w:color="auto" w:sz="6" w:space="0"/>
            </w:tcBorders>
            <w:noWrap w:val="0"/>
            <w:vAlign w:val="center"/>
          </w:tcPr>
          <w:p w14:paraId="0A90C78E">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w:t>
            </w:r>
          </w:p>
        </w:tc>
        <w:tc>
          <w:tcPr>
            <w:tcW w:w="8697" w:type="dxa"/>
            <w:tcBorders>
              <w:top w:val="outset" w:color="auto" w:sz="6" w:space="0"/>
              <w:left w:val="outset" w:color="auto" w:sz="6" w:space="0"/>
              <w:bottom w:val="outset" w:color="auto" w:sz="6" w:space="0"/>
              <w:right w:val="outset" w:color="auto" w:sz="6" w:space="0"/>
            </w:tcBorders>
            <w:noWrap w:val="0"/>
            <w:vAlign w:val="center"/>
          </w:tcPr>
          <w:p w14:paraId="2F00FAFC">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根据提供</w:t>
            </w:r>
            <w:r>
              <w:rPr>
                <w:rFonts w:hint="eastAsia" w:ascii="宋体" w:hAnsi="宋体" w:eastAsia="宋体" w:cs="宋体"/>
                <w:color w:val="auto"/>
                <w:kern w:val="0"/>
                <w:sz w:val="24"/>
                <w:szCs w:val="24"/>
                <w:highlight w:val="none"/>
                <w:lang w:val="en-US" w:eastAsia="zh-CN" w:bidi="ar"/>
              </w:rPr>
              <w:t>样品</w:t>
            </w:r>
            <w:r>
              <w:rPr>
                <w:rFonts w:hint="eastAsia" w:ascii="宋体" w:hAnsi="宋体" w:eastAsia="宋体" w:cs="宋体"/>
                <w:color w:val="auto"/>
                <w:kern w:val="0"/>
                <w:sz w:val="24"/>
                <w:szCs w:val="24"/>
                <w:highlight w:val="none"/>
                <w:lang w:val="en-US" w:eastAsia="zh-CN" w:bidi="ar"/>
              </w:rPr>
              <w:t>的</w:t>
            </w:r>
            <w:r>
              <w:rPr>
                <w:rFonts w:hint="eastAsia" w:ascii="宋体" w:hAnsi="宋体" w:eastAsia="宋体" w:cs="宋体"/>
                <w:color w:val="auto"/>
                <w:kern w:val="0"/>
                <w:sz w:val="24"/>
                <w:szCs w:val="24"/>
                <w:highlight w:val="none"/>
                <w:lang w:val="en-US" w:eastAsia="zh-CN" w:bidi="ar"/>
              </w:rPr>
              <w:t>木质件</w:t>
            </w:r>
            <w:r>
              <w:rPr>
                <w:rFonts w:hint="eastAsia" w:ascii="宋体" w:hAnsi="宋体" w:eastAsia="宋体" w:cs="宋体"/>
                <w:color w:val="auto"/>
                <w:kern w:val="0"/>
                <w:sz w:val="24"/>
                <w:szCs w:val="24"/>
                <w:highlight w:val="none"/>
                <w:lang w:val="en-US" w:eastAsia="zh-CN" w:bidi="ar"/>
              </w:rPr>
              <w:t>无蛀虫现象、外表无腐朽材、无贯通裂缝、薄木、塑料等材料贴面应无明显透胶、脱胶、凹陷、压痕、鼓泡、胶迹得2分，有细微缺陷【存在但不限于：蛀虫现象或外表腐朽材或贯通裂缝或薄木或塑料等材料贴面或有透胶或脱胶或凹陷或压痕或鼓泡或胶迹现象等】得1.5分。样品存在较大缺陷或不符合项目需求的不得分。</w:t>
            </w:r>
          </w:p>
        </w:tc>
      </w:tr>
      <w:tr w14:paraId="203865C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620" w:type="dxa"/>
            <w:vMerge w:val="continue"/>
            <w:tcBorders>
              <w:left w:val="outset" w:color="auto" w:sz="6" w:space="0"/>
              <w:right w:val="outset" w:color="auto" w:sz="6" w:space="0"/>
            </w:tcBorders>
            <w:noWrap w:val="0"/>
            <w:vAlign w:val="center"/>
          </w:tcPr>
          <w:p w14:paraId="6A57AC9B">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p>
        </w:tc>
        <w:tc>
          <w:tcPr>
            <w:tcW w:w="723" w:type="dxa"/>
            <w:tcBorders>
              <w:left w:val="outset" w:color="auto" w:sz="6" w:space="0"/>
              <w:right w:val="outset" w:color="auto" w:sz="6" w:space="0"/>
            </w:tcBorders>
            <w:noWrap w:val="0"/>
            <w:vAlign w:val="center"/>
          </w:tcPr>
          <w:p w14:paraId="698D194A">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8697" w:type="dxa"/>
            <w:tcBorders>
              <w:top w:val="outset" w:color="auto" w:sz="6" w:space="0"/>
              <w:left w:val="outset" w:color="auto" w:sz="6" w:space="0"/>
              <w:bottom w:val="outset" w:color="auto" w:sz="6" w:space="0"/>
              <w:right w:val="outset" w:color="auto" w:sz="6" w:space="0"/>
            </w:tcBorders>
            <w:noWrap w:val="0"/>
            <w:vAlign w:val="center"/>
          </w:tcPr>
          <w:p w14:paraId="77A434B7">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提供样品中连接件安装不应有少件、漏钉、透钉（预留孔、选择孔除外）且安装应严密、平整、端正、牢固，结合处应无开裂或松动的得3分，有细微缺陷【存在但不限于：少件或漏钉或透钉（预留孔、选择孔除外）或安装不严密或不平整或不端正或不牢固，结合开裂或松动现象等】得2分。样品存在较大缺陷或不符合项目需求的不得分。</w:t>
            </w:r>
          </w:p>
        </w:tc>
      </w:tr>
      <w:tr w14:paraId="1CCE730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620" w:type="dxa"/>
            <w:vMerge w:val="continue"/>
            <w:tcBorders>
              <w:left w:val="outset" w:color="auto" w:sz="6" w:space="0"/>
              <w:right w:val="outset" w:color="auto" w:sz="6" w:space="0"/>
            </w:tcBorders>
            <w:noWrap w:val="0"/>
            <w:vAlign w:val="center"/>
          </w:tcPr>
          <w:p w14:paraId="58B39BE1">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p>
        </w:tc>
        <w:tc>
          <w:tcPr>
            <w:tcW w:w="723" w:type="dxa"/>
            <w:tcBorders>
              <w:left w:val="outset" w:color="auto" w:sz="6" w:space="0"/>
              <w:right w:val="outset" w:color="auto" w:sz="6" w:space="0"/>
            </w:tcBorders>
            <w:noWrap w:val="0"/>
            <w:vAlign w:val="center"/>
          </w:tcPr>
          <w:p w14:paraId="3339FAAB">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w:t>
            </w:r>
          </w:p>
        </w:tc>
        <w:tc>
          <w:tcPr>
            <w:tcW w:w="8697" w:type="dxa"/>
            <w:tcBorders>
              <w:top w:val="outset" w:color="auto" w:sz="6" w:space="0"/>
              <w:left w:val="outset" w:color="auto" w:sz="6" w:space="0"/>
              <w:bottom w:val="outset" w:color="auto" w:sz="6" w:space="0"/>
              <w:right w:val="outset" w:color="auto" w:sz="6" w:space="0"/>
            </w:tcBorders>
            <w:noWrap w:val="0"/>
            <w:vAlign w:val="center"/>
          </w:tcPr>
          <w:p w14:paraId="793D35A3">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提供样品漆膜要求：同色部件的色泽应相似、应无褪色、掉色现象、涂层不应有皱皮、发粘或漏漆现象、涂层应平整光滑、清晰、无明显粒子、涨边现象；应无明显加工痕迹、划痕、雾光、白棱、白点、鼓泡、油白、 流挂、缩孔、刷毛、积粉和杂渣得2分，有细微缺陷【存在但不限于：同色部件的色泽不相似或褪色或掉色现象或涂层皱皮或发粘或漏漆现象或涂层不平整光滑或不清晰或粒子或涨边现象或划痕或雾光或白棱或白点或鼓泡或油白或流挂或缩孔或刷毛或积粉或杂渣等】得1.5分。样品存在较大缺陷或不符合项目需求的不得分。</w:t>
            </w:r>
          </w:p>
        </w:tc>
      </w:tr>
      <w:tr w14:paraId="7374242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620" w:type="dxa"/>
            <w:vMerge w:val="continue"/>
            <w:tcBorders>
              <w:left w:val="outset" w:color="auto" w:sz="6" w:space="0"/>
              <w:right w:val="outset" w:color="auto" w:sz="6" w:space="0"/>
            </w:tcBorders>
            <w:noWrap w:val="0"/>
            <w:vAlign w:val="center"/>
          </w:tcPr>
          <w:p w14:paraId="0E9CC01C">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p>
        </w:tc>
        <w:tc>
          <w:tcPr>
            <w:tcW w:w="723" w:type="dxa"/>
            <w:tcBorders>
              <w:left w:val="outset" w:color="auto" w:sz="6" w:space="0"/>
              <w:right w:val="outset" w:color="auto" w:sz="6" w:space="0"/>
            </w:tcBorders>
            <w:noWrap w:val="0"/>
            <w:vAlign w:val="center"/>
          </w:tcPr>
          <w:p w14:paraId="064AC0B4">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w:t>
            </w:r>
          </w:p>
        </w:tc>
        <w:tc>
          <w:tcPr>
            <w:tcW w:w="8697" w:type="dxa"/>
            <w:tcBorders>
              <w:top w:val="outset" w:color="auto" w:sz="6" w:space="0"/>
              <w:left w:val="outset" w:color="auto" w:sz="6" w:space="0"/>
              <w:bottom w:val="outset" w:color="auto" w:sz="6" w:space="0"/>
              <w:right w:val="outset" w:color="auto" w:sz="6" w:space="0"/>
            </w:tcBorders>
            <w:noWrap w:val="0"/>
            <w:vAlign w:val="center"/>
          </w:tcPr>
          <w:p w14:paraId="65A8E611">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根据提供样品的是否有刺激性气味及有毒有害气味等进行评价：样品无刺激性气味及有毒有害气味的得2分；无明显刺激性气味，不影响使用单位日常使用的1.5分；样品存在较大缺陷或不符合项目需求的不得分。</w:t>
            </w:r>
          </w:p>
        </w:tc>
      </w:tr>
      <w:tr w14:paraId="5101F30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620" w:type="dxa"/>
            <w:vMerge w:val="continue"/>
            <w:tcBorders>
              <w:left w:val="outset" w:color="auto" w:sz="6" w:space="0"/>
              <w:bottom w:val="outset" w:color="auto" w:sz="6" w:space="0"/>
              <w:right w:val="outset" w:color="auto" w:sz="6" w:space="0"/>
            </w:tcBorders>
            <w:noWrap w:val="0"/>
            <w:vAlign w:val="center"/>
          </w:tcPr>
          <w:p w14:paraId="386E3608">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p>
        </w:tc>
        <w:tc>
          <w:tcPr>
            <w:tcW w:w="9420" w:type="dxa"/>
            <w:gridSpan w:val="2"/>
            <w:tcBorders>
              <w:top w:val="outset" w:color="auto" w:sz="6" w:space="0"/>
              <w:left w:val="outset" w:color="auto" w:sz="6" w:space="0"/>
              <w:bottom w:val="outset" w:color="auto" w:sz="6" w:space="0"/>
              <w:right w:val="outset" w:color="auto" w:sz="6" w:space="0"/>
            </w:tcBorders>
            <w:noWrap w:val="0"/>
            <w:vAlign w:val="center"/>
          </w:tcPr>
          <w:p w14:paraId="3BDC971D">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注：投标人未按要求完整提供样品或样品不符合招标文件内容要求的此项不得分。</w:t>
            </w:r>
          </w:p>
        </w:tc>
      </w:tr>
    </w:tbl>
    <w:p w14:paraId="6D85DE57">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340132A0">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（二）商务评分(F2)：按</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rPr>
        <w:t>分评分法，商务评分考虑下列因素：</w:t>
      </w:r>
    </w:p>
    <w:tbl>
      <w:tblPr>
        <w:tblStyle w:val="11"/>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79"/>
        <w:gridCol w:w="563"/>
        <w:gridCol w:w="7893"/>
      </w:tblGrid>
      <w:tr w14:paraId="061BD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679" w:type="dxa"/>
            <w:noWrap w:val="0"/>
            <w:vAlign w:val="center"/>
          </w:tcPr>
          <w:p w14:paraId="71335D4F">
            <w:pPr>
              <w:keepNext w:val="0"/>
              <w:keepLines w:val="0"/>
              <w:widowControl/>
              <w:suppressLineNumbers w:val="0"/>
              <w:spacing w:before="0" w:beforeAutospacing="0" w:after="0" w:afterAutospacing="0" w:line="360" w:lineRule="auto"/>
              <w:ind w:left="0" w:right="0"/>
              <w:jc w:val="left"/>
              <w:rPr>
                <w:rFonts w:hint="default"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评标项目</w:t>
            </w:r>
          </w:p>
        </w:tc>
        <w:tc>
          <w:tcPr>
            <w:tcW w:w="563" w:type="dxa"/>
            <w:noWrap w:val="0"/>
            <w:vAlign w:val="center"/>
          </w:tcPr>
          <w:p w14:paraId="6D54C5E4">
            <w:pPr>
              <w:keepNext w:val="0"/>
              <w:keepLines w:val="0"/>
              <w:widowControl/>
              <w:suppressLineNumbers w:val="0"/>
              <w:spacing w:before="0" w:beforeAutospacing="0" w:after="0" w:afterAutospacing="0" w:line="360" w:lineRule="auto"/>
              <w:ind w:left="0" w:right="0"/>
              <w:jc w:val="left"/>
              <w:rPr>
                <w:rFonts w:hint="default"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评标分值</w:t>
            </w:r>
          </w:p>
        </w:tc>
        <w:tc>
          <w:tcPr>
            <w:tcW w:w="7893" w:type="dxa"/>
            <w:noWrap w:val="0"/>
            <w:vAlign w:val="center"/>
          </w:tcPr>
          <w:p w14:paraId="0B6FB847">
            <w:pPr>
              <w:keepNext w:val="0"/>
              <w:keepLines w:val="0"/>
              <w:widowControl/>
              <w:suppressLineNumbers w:val="0"/>
              <w:spacing w:before="0" w:beforeAutospacing="0" w:after="0" w:afterAutospacing="0" w:line="360" w:lineRule="auto"/>
              <w:ind w:left="0" w:right="0"/>
              <w:jc w:val="left"/>
              <w:rPr>
                <w:rFonts w:hint="default"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评标方法描述</w:t>
            </w:r>
          </w:p>
        </w:tc>
      </w:tr>
      <w:tr w14:paraId="1CF1A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9" w:type="dxa"/>
            <w:noWrap w:val="0"/>
            <w:vAlign w:val="center"/>
          </w:tcPr>
          <w:p w14:paraId="02495A17">
            <w:pPr>
              <w:keepNext w:val="0"/>
              <w:keepLines w:val="0"/>
              <w:widowControl/>
              <w:suppressLineNumbers w:val="0"/>
              <w:spacing w:before="0" w:beforeAutospacing="0" w:after="0" w:afterAutospacing="0" w:line="360" w:lineRule="auto"/>
              <w:ind w:left="0" w:right="0"/>
              <w:jc w:val="center"/>
              <w:rPr>
                <w:rFonts w:hint="default"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w:t>
            </w:r>
          </w:p>
        </w:tc>
        <w:tc>
          <w:tcPr>
            <w:tcW w:w="563" w:type="dxa"/>
            <w:noWrap w:val="0"/>
            <w:vAlign w:val="center"/>
          </w:tcPr>
          <w:p w14:paraId="6E416ED2">
            <w:pPr>
              <w:keepNext w:val="0"/>
              <w:keepLines w:val="0"/>
              <w:widowControl/>
              <w:suppressLineNumbers w:val="0"/>
              <w:spacing w:before="0" w:beforeAutospacing="0" w:after="0" w:afterAutospacing="0" w:line="360" w:lineRule="auto"/>
              <w:ind w:left="0" w:right="0"/>
              <w:jc w:val="center"/>
              <w:rPr>
                <w:rFonts w:hint="default"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w:t>
            </w:r>
          </w:p>
        </w:tc>
        <w:tc>
          <w:tcPr>
            <w:tcW w:w="7893" w:type="dxa"/>
            <w:noWrap w:val="0"/>
            <w:vAlign w:val="center"/>
          </w:tcPr>
          <w:p w14:paraId="443AEA72">
            <w:pPr>
              <w:keepNext w:val="0"/>
              <w:keepLines w:val="0"/>
              <w:widowControl/>
              <w:suppressLineNumbers w:val="0"/>
              <w:spacing w:before="0" w:beforeAutospacing="0" w:after="0" w:afterAutospacing="0" w:line="360" w:lineRule="auto"/>
              <w:ind w:left="0" w:right="0"/>
              <w:jc w:val="left"/>
              <w:rPr>
                <w:rFonts w:hint="default"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投标人具有质量管理体系认证证书的得1分，需提供有效期内的证书复印件并加盖投标人公章，否则不得分。</w:t>
            </w:r>
          </w:p>
        </w:tc>
      </w:tr>
      <w:tr w14:paraId="0ED01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9" w:type="dxa"/>
            <w:noWrap w:val="0"/>
            <w:vAlign w:val="center"/>
          </w:tcPr>
          <w:p w14:paraId="2C2F9AF2">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2</w:t>
            </w:r>
          </w:p>
        </w:tc>
        <w:tc>
          <w:tcPr>
            <w:tcW w:w="563" w:type="dxa"/>
            <w:noWrap w:val="0"/>
            <w:vAlign w:val="center"/>
          </w:tcPr>
          <w:p w14:paraId="3B990E9A">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w:t>
            </w:r>
          </w:p>
        </w:tc>
        <w:tc>
          <w:tcPr>
            <w:tcW w:w="7893" w:type="dxa"/>
            <w:noWrap w:val="0"/>
            <w:vAlign w:val="center"/>
          </w:tcPr>
          <w:p w14:paraId="319DE6EB">
            <w:pPr>
              <w:keepNext w:val="0"/>
              <w:keepLines w:val="0"/>
              <w:widowControl/>
              <w:suppressLineNumbers w:val="0"/>
              <w:spacing w:before="0" w:beforeAutospacing="0" w:after="0" w:afterAutospacing="0" w:line="360" w:lineRule="auto"/>
              <w:ind w:left="0" w:right="0"/>
              <w:jc w:val="left"/>
              <w:rPr>
                <w:rFonts w:hint="default"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投标人具有环境管理体系认证证书的得1分，需提供有效期内的证书复印件并加盖投标人公章，否则不得分。</w:t>
            </w:r>
          </w:p>
        </w:tc>
      </w:tr>
      <w:tr w14:paraId="6C896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9" w:type="dxa"/>
            <w:noWrap w:val="0"/>
            <w:vAlign w:val="center"/>
          </w:tcPr>
          <w:p w14:paraId="1E9B2786">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3</w:t>
            </w:r>
          </w:p>
        </w:tc>
        <w:tc>
          <w:tcPr>
            <w:tcW w:w="563" w:type="dxa"/>
            <w:noWrap w:val="0"/>
            <w:vAlign w:val="center"/>
          </w:tcPr>
          <w:p w14:paraId="0652D29F">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w:t>
            </w:r>
          </w:p>
        </w:tc>
        <w:tc>
          <w:tcPr>
            <w:tcW w:w="7893" w:type="dxa"/>
            <w:noWrap w:val="0"/>
            <w:vAlign w:val="center"/>
          </w:tcPr>
          <w:p w14:paraId="3073975D">
            <w:pPr>
              <w:keepNext w:val="0"/>
              <w:keepLines w:val="0"/>
              <w:widowControl/>
              <w:suppressLineNumbers w:val="0"/>
              <w:spacing w:before="0" w:beforeAutospacing="0" w:after="0" w:afterAutospacing="0" w:line="360" w:lineRule="auto"/>
              <w:ind w:left="0" w:right="0"/>
              <w:jc w:val="left"/>
              <w:rPr>
                <w:rFonts w:hint="default"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投标人具有职业健康安全管理体系认证证书的得1分，需提供有效期内的证书复印件并加盖投标人公章，否则不得分。</w:t>
            </w:r>
          </w:p>
        </w:tc>
      </w:tr>
      <w:tr w14:paraId="69467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9" w:type="dxa"/>
            <w:noWrap w:val="0"/>
            <w:vAlign w:val="center"/>
          </w:tcPr>
          <w:p w14:paraId="604A5B93">
            <w:pPr>
              <w:keepNext w:val="0"/>
              <w:keepLines w:val="0"/>
              <w:widowControl/>
              <w:suppressLineNumbers w:val="0"/>
              <w:spacing w:before="0" w:beforeAutospacing="0" w:after="0" w:afterAutospacing="0" w:line="360" w:lineRule="auto"/>
              <w:ind w:left="0" w:right="0"/>
              <w:jc w:val="center"/>
              <w:rPr>
                <w:rFonts w:hint="default"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4</w:t>
            </w:r>
          </w:p>
        </w:tc>
        <w:tc>
          <w:tcPr>
            <w:tcW w:w="563" w:type="dxa"/>
            <w:noWrap w:val="0"/>
            <w:vAlign w:val="center"/>
          </w:tcPr>
          <w:p w14:paraId="2D19633D">
            <w:pPr>
              <w:keepNext w:val="0"/>
              <w:keepLines w:val="0"/>
              <w:widowControl/>
              <w:suppressLineNumbers w:val="0"/>
              <w:spacing w:before="0" w:beforeAutospacing="0" w:after="0" w:afterAutospacing="0" w:line="360" w:lineRule="auto"/>
              <w:ind w:left="0" w:right="0"/>
              <w:jc w:val="center"/>
              <w:rPr>
                <w:rFonts w:hint="default"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3</w:t>
            </w:r>
          </w:p>
        </w:tc>
        <w:tc>
          <w:tcPr>
            <w:tcW w:w="7893" w:type="dxa"/>
            <w:noWrap w:val="0"/>
            <w:vAlign w:val="center"/>
          </w:tcPr>
          <w:p w14:paraId="5CC44645">
            <w:pPr>
              <w:keepNext w:val="0"/>
              <w:keepLines w:val="0"/>
              <w:widowControl/>
              <w:suppressLineNumbers w:val="0"/>
              <w:spacing w:before="0" w:beforeAutospacing="0" w:after="0" w:afterAutospacing="0" w:line="360" w:lineRule="auto"/>
              <w:ind w:left="0" w:right="0"/>
              <w:jc w:val="left"/>
              <w:rPr>
                <w:rFonts w:hint="default" w:asciiTheme="minorEastAsia" w:hAnsiTheme="minorEastAsia" w:eastAsiaTheme="minorEastAsia" w:cstheme="minorEastAsia"/>
                <w:color w:val="auto"/>
                <w:kern w:val="0"/>
                <w:sz w:val="24"/>
                <w:szCs w:val="24"/>
                <w:highlight w:val="none"/>
                <w:lang w:eastAsia="zh-CN" w:bidi="ar"/>
              </w:rPr>
            </w:pPr>
            <w:r>
              <w:rPr>
                <w:rFonts w:hint="eastAsia" w:asciiTheme="minorEastAsia" w:hAnsiTheme="minorEastAsia" w:eastAsiaTheme="minorEastAsia" w:cstheme="minorEastAsia"/>
                <w:color w:val="auto"/>
                <w:kern w:val="0"/>
                <w:sz w:val="24"/>
                <w:szCs w:val="24"/>
                <w:highlight w:val="none"/>
                <w:lang w:val="en-US" w:eastAsia="zh-CN" w:bidi="ar"/>
              </w:rPr>
              <w:t>针对本项目投标人编制</w:t>
            </w:r>
            <w:r>
              <w:rPr>
                <w:rFonts w:hint="default" w:asciiTheme="minorEastAsia" w:hAnsiTheme="minorEastAsia" w:eastAsiaTheme="minorEastAsia" w:cstheme="minorEastAsia"/>
                <w:color w:val="auto"/>
                <w:kern w:val="0"/>
                <w:sz w:val="24"/>
                <w:szCs w:val="24"/>
                <w:highlight w:val="none"/>
                <w:lang w:eastAsia="zh-CN" w:bidi="ar"/>
              </w:rPr>
              <w:t>家具生产</w:t>
            </w:r>
            <w:r>
              <w:rPr>
                <w:rFonts w:hint="eastAsia" w:asciiTheme="minorEastAsia" w:hAnsiTheme="minorEastAsia" w:eastAsiaTheme="minorEastAsia" w:cstheme="minorEastAsia"/>
                <w:color w:val="auto"/>
                <w:kern w:val="0"/>
                <w:sz w:val="24"/>
                <w:szCs w:val="24"/>
                <w:highlight w:val="none"/>
                <w:lang w:val="en-US" w:eastAsia="zh-CN" w:bidi="ar"/>
              </w:rPr>
              <w:t>管理制度（包括但不限于：内部管理制度、作业管理制度、安全管理制度，应结合本项目实际情况制定）、组织架构（包括但不限于：职能结构、层次结构、部门结构、职权结构）根据上述内容提供管理制度及组织架构得3分；未提供方案或方案</w:t>
            </w:r>
            <w:r>
              <w:rPr>
                <w:rFonts w:hint="eastAsia" w:asciiTheme="minorEastAsia" w:hAnsiTheme="minorEastAsia" w:eastAsiaTheme="minorEastAsia" w:cstheme="minorEastAsia"/>
                <w:color w:val="auto"/>
                <w:kern w:val="0"/>
                <w:sz w:val="24"/>
                <w:szCs w:val="24"/>
                <w:highlight w:val="none"/>
                <w:lang w:val="en-US" w:eastAsia="zh-CN" w:bidi="ar"/>
              </w:rPr>
              <w:t>不完整</w:t>
            </w:r>
            <w:r>
              <w:rPr>
                <w:rFonts w:hint="eastAsia" w:asciiTheme="minorEastAsia" w:hAnsiTheme="minorEastAsia" w:eastAsiaTheme="minorEastAsia" w:cstheme="minorEastAsia"/>
                <w:color w:val="auto"/>
                <w:kern w:val="0"/>
                <w:sz w:val="24"/>
                <w:szCs w:val="24"/>
                <w:highlight w:val="none"/>
                <w:lang w:val="en-US" w:eastAsia="zh-CN" w:bidi="ar"/>
              </w:rPr>
              <w:t>或措施方案不符合项目需求的不得分</w:t>
            </w:r>
            <w:r>
              <w:rPr>
                <w:rFonts w:hint="default" w:asciiTheme="minorEastAsia" w:hAnsiTheme="minorEastAsia" w:eastAsiaTheme="minorEastAsia" w:cstheme="minorEastAsia"/>
                <w:color w:val="auto"/>
                <w:kern w:val="0"/>
                <w:sz w:val="24"/>
                <w:szCs w:val="24"/>
                <w:highlight w:val="none"/>
                <w:lang w:eastAsia="zh-CN" w:bidi="ar"/>
              </w:rPr>
              <w:t>。</w:t>
            </w:r>
          </w:p>
        </w:tc>
      </w:tr>
      <w:tr w14:paraId="2542F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9" w:type="dxa"/>
            <w:noWrap w:val="0"/>
            <w:vAlign w:val="center"/>
          </w:tcPr>
          <w:p w14:paraId="77FC94EB">
            <w:pPr>
              <w:keepNext w:val="0"/>
              <w:keepLines w:val="0"/>
              <w:widowControl/>
              <w:suppressLineNumbers w:val="0"/>
              <w:spacing w:before="0" w:beforeAutospacing="0" w:after="0" w:afterAutospacing="0" w:line="360" w:lineRule="auto"/>
              <w:ind w:left="0" w:right="0"/>
              <w:jc w:val="center"/>
              <w:rPr>
                <w:rFonts w:hint="default"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5</w:t>
            </w:r>
          </w:p>
        </w:tc>
        <w:tc>
          <w:tcPr>
            <w:tcW w:w="563" w:type="dxa"/>
            <w:noWrap w:val="0"/>
            <w:vAlign w:val="center"/>
          </w:tcPr>
          <w:p w14:paraId="61C0CB39">
            <w:pPr>
              <w:keepNext w:val="0"/>
              <w:keepLines w:val="0"/>
              <w:widowControl/>
              <w:suppressLineNumbers w:val="0"/>
              <w:spacing w:before="0" w:beforeAutospacing="0" w:after="0" w:afterAutospacing="0" w:line="360" w:lineRule="auto"/>
              <w:ind w:left="0" w:right="0"/>
              <w:jc w:val="center"/>
              <w:rPr>
                <w:rFonts w:hint="default"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3</w:t>
            </w:r>
          </w:p>
        </w:tc>
        <w:tc>
          <w:tcPr>
            <w:tcW w:w="7893" w:type="dxa"/>
            <w:noWrap w:val="0"/>
            <w:vAlign w:val="center"/>
          </w:tcPr>
          <w:p w14:paraId="16DC2C38">
            <w:pPr>
              <w:keepNext w:val="0"/>
              <w:keepLines w:val="0"/>
              <w:widowControl/>
              <w:suppressLineNumbers w:val="0"/>
              <w:spacing w:before="0" w:beforeAutospacing="0" w:after="0" w:afterAutospacing="0" w:line="360" w:lineRule="auto"/>
              <w:ind w:left="0" w:right="0"/>
              <w:jc w:val="left"/>
              <w:rPr>
                <w:rFonts w:hint="default"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根据投标人保修承诺进行评价：保修期满足招标文件要求的基础上，每增加一年加1.5分，满分3分（需提供承诺书，格式自拟）。</w:t>
            </w:r>
          </w:p>
        </w:tc>
      </w:tr>
      <w:tr w14:paraId="794B7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9" w:type="dxa"/>
            <w:noWrap w:val="0"/>
            <w:vAlign w:val="center"/>
          </w:tcPr>
          <w:p w14:paraId="4D3ED5E9">
            <w:pPr>
              <w:keepNext w:val="0"/>
              <w:keepLines w:val="0"/>
              <w:widowControl/>
              <w:suppressLineNumbers w:val="0"/>
              <w:spacing w:before="0" w:beforeAutospacing="0" w:after="0" w:afterAutospacing="0" w:line="360" w:lineRule="auto"/>
              <w:ind w:left="0" w:right="0"/>
              <w:jc w:val="center"/>
              <w:rPr>
                <w:rFonts w:hint="default"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6</w:t>
            </w:r>
          </w:p>
        </w:tc>
        <w:tc>
          <w:tcPr>
            <w:tcW w:w="563" w:type="dxa"/>
            <w:noWrap w:val="0"/>
            <w:vAlign w:val="center"/>
          </w:tcPr>
          <w:p w14:paraId="780F7264">
            <w:pPr>
              <w:keepNext w:val="0"/>
              <w:keepLines w:val="0"/>
              <w:widowControl/>
              <w:suppressLineNumbers w:val="0"/>
              <w:spacing w:before="0" w:beforeAutospacing="0" w:after="0" w:afterAutospacing="0" w:line="360" w:lineRule="auto"/>
              <w:ind w:left="0" w:right="0"/>
              <w:jc w:val="center"/>
              <w:rPr>
                <w:rFonts w:hint="default"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3</w:t>
            </w:r>
          </w:p>
        </w:tc>
        <w:tc>
          <w:tcPr>
            <w:tcW w:w="7893" w:type="dxa"/>
            <w:noWrap w:val="0"/>
            <w:vAlign w:val="center"/>
          </w:tcPr>
          <w:p w14:paraId="7181A257">
            <w:pPr>
              <w:keepNext w:val="0"/>
              <w:keepLines w:val="0"/>
              <w:widowControl/>
              <w:suppressLineNumbers w:val="0"/>
              <w:spacing w:before="0" w:beforeAutospacing="0" w:after="0" w:afterAutospacing="0" w:line="360" w:lineRule="auto"/>
              <w:ind w:left="0" w:right="0"/>
              <w:jc w:val="left"/>
              <w:rPr>
                <w:rFonts w:hint="default"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根据投标人提供的货物进场及清退管理措施的方案进行评价：内容包含货物进场计划、对进场及退场可能涉及的难点进行分析、人员管理方案，完全满足上述全部内容的得3分；未完整提供的不得分。</w:t>
            </w:r>
          </w:p>
        </w:tc>
      </w:tr>
      <w:tr w14:paraId="73D6B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9" w:type="dxa"/>
            <w:noWrap w:val="0"/>
            <w:vAlign w:val="center"/>
          </w:tcPr>
          <w:p w14:paraId="5B607CFC">
            <w:pPr>
              <w:keepNext w:val="0"/>
              <w:keepLines w:val="0"/>
              <w:widowControl/>
              <w:suppressLineNumbers w:val="0"/>
              <w:spacing w:before="0" w:beforeAutospacing="0" w:after="0" w:afterAutospacing="0" w:line="360" w:lineRule="auto"/>
              <w:ind w:left="0" w:right="0"/>
              <w:jc w:val="center"/>
              <w:rPr>
                <w:rFonts w:hint="default"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7</w:t>
            </w:r>
          </w:p>
        </w:tc>
        <w:tc>
          <w:tcPr>
            <w:tcW w:w="563" w:type="dxa"/>
            <w:noWrap w:val="0"/>
            <w:vAlign w:val="center"/>
          </w:tcPr>
          <w:p w14:paraId="3AD5B134">
            <w:pPr>
              <w:keepNext w:val="0"/>
              <w:keepLines w:val="0"/>
              <w:widowControl/>
              <w:suppressLineNumbers w:val="0"/>
              <w:spacing w:before="0" w:beforeAutospacing="0" w:after="0" w:afterAutospacing="0" w:line="360" w:lineRule="auto"/>
              <w:ind w:left="0" w:right="0"/>
              <w:jc w:val="center"/>
              <w:rPr>
                <w:rFonts w:hint="default"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3</w:t>
            </w:r>
          </w:p>
        </w:tc>
        <w:tc>
          <w:tcPr>
            <w:tcW w:w="7893" w:type="dxa"/>
            <w:noWrap w:val="0"/>
            <w:vAlign w:val="center"/>
          </w:tcPr>
          <w:p w14:paraId="6C3141BD">
            <w:pPr>
              <w:keepNext w:val="0"/>
              <w:keepLines w:val="0"/>
              <w:widowControl/>
              <w:suppressLineNumbers w:val="0"/>
              <w:spacing w:before="0" w:beforeAutospacing="0" w:after="0" w:afterAutospacing="0" w:line="360" w:lineRule="auto"/>
              <w:ind w:left="0" w:right="0"/>
              <w:jc w:val="left"/>
              <w:rPr>
                <w:rFonts w:hint="default"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根据投标人提供的质量保证措施和不合格货物退换方案进行评价：</w:t>
            </w:r>
          </w:p>
          <w:p w14:paraId="6DF2723E">
            <w:pPr>
              <w:keepNext w:val="0"/>
              <w:keepLines w:val="0"/>
              <w:widowControl/>
              <w:suppressLineNumbers w:val="0"/>
              <w:spacing w:before="0" w:beforeAutospacing="0" w:after="0" w:afterAutospacing="0" w:line="360" w:lineRule="auto"/>
              <w:ind w:left="0" w:right="0"/>
              <w:jc w:val="left"/>
              <w:rPr>
                <w:rFonts w:hint="default"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内容包含：质量保证措施方案、不合格货物退换方案，全满足上述全部内容的得3分；未完整提供的不得分。</w:t>
            </w:r>
          </w:p>
        </w:tc>
      </w:tr>
    </w:tbl>
    <w:p w14:paraId="7F671528">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028FF650">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（三）价格评分(F3)：按</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分评分法，评标委员会对各有效标投标报价进行审核确定评标价，并将最低有效标的评标价设为基准价，定其价格得分为</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分。按公式：价格得分＝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sym w:font="Symbol" w:char="00B4"/>
      </w:r>
      <w:r>
        <w:rPr>
          <w:rFonts w:hint="eastAsia" w:ascii="宋体" w:hAnsi="宋体" w:eastAsia="宋体" w:cs="宋体"/>
          <w:color w:val="auto"/>
          <w:sz w:val="24"/>
          <w:szCs w:val="24"/>
          <w:highlight w:val="none"/>
        </w:rPr>
        <w:t>（基准价/各个通过审核的有效投标人的评标价）计算，由此算出各个通过审核的有效投标人的价格得分。</w:t>
      </w:r>
    </w:p>
    <w:p w14:paraId="6C495999">
      <w:pP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“小型和微型企业产品”的评分政策：投标人提供的货物既有中型企业制造，也有小微企业制造的，不享受办法规定的小微企业扶持政策。</w:t>
      </w:r>
    </w:p>
    <w:p w14:paraId="13949E7F">
      <w:pPr>
        <w:pStyle w:val="5"/>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对其提供的小型或微型企业产品的投标报价给予20%的扣除，扣除后的价格作为该投标人的评标价参与价格评分。</w:t>
      </w:r>
    </w:p>
    <w:p w14:paraId="017780ED">
      <w:pPr>
        <w:pStyle w:val="5"/>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w:t>
      </w:r>
      <w:r>
        <w:rPr>
          <w:rFonts w:hint="eastAsia" w:hAnsi="宋体" w:cs="宋体"/>
          <w:color w:val="auto"/>
          <w:sz w:val="24"/>
          <w:szCs w:val="24"/>
          <w:highlight w:val="none"/>
          <w:lang w:eastAsia="zh-CN"/>
        </w:rPr>
        <w:t>采购单位</w:t>
      </w:r>
      <w:r>
        <w:rPr>
          <w:rFonts w:hint="eastAsia" w:ascii="宋体" w:hAnsi="宋体" w:eastAsia="宋体" w:cs="宋体"/>
          <w:color w:val="auto"/>
          <w:sz w:val="24"/>
          <w:szCs w:val="24"/>
          <w:highlight w:val="none"/>
        </w:rPr>
        <w:t>、采购代理机构应当对联合体或者大中型企业的报价给予6%的扣除，用扣除后的价格参加评审。</w:t>
      </w:r>
    </w:p>
    <w:p w14:paraId="351C7684">
      <w:pPr>
        <w:pStyle w:val="10"/>
        <w:numPr>
          <w:ilvl w:val="-1"/>
          <w:numId w:val="0"/>
        </w:numPr>
        <w:spacing w:line="360" w:lineRule="auto"/>
        <w:ind w:left="0" w:leftChars="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w:t>
      </w:r>
      <w:r>
        <w:rPr>
          <w:rFonts w:hint="eastAsia" w:ascii="宋体" w:hAnsi="宋体" w:eastAsia="宋体" w:cs="宋体"/>
          <w:color w:val="auto"/>
          <w:sz w:val="24"/>
          <w:szCs w:val="24"/>
          <w:highlight w:val="none"/>
          <w:lang w:eastAsia="zh-CN"/>
        </w:rPr>
        <w:t>根据《财政部 民政部 中国残疾人联合会关于促进残疾人就业政府采购政策的通知》（财库[2017]141号），残疾人福利性单位视同小型、微型企业。残疾人福利性单位属于小型、微型企业的，不重复享受政策。</w:t>
      </w:r>
    </w:p>
    <w:p w14:paraId="09FD95D5">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lang w:val="en-US" w:eastAsia="zh-CN"/>
        </w:rPr>
        <w:t>节能、环境标志产品价格扣除：</w:t>
      </w:r>
    </w:p>
    <w:p w14:paraId="0BB090EA">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的产品属于节能产品、环境标志产品政府采购品目清单范围的，依据国家确定的认证机构出具的、处于有效期之内的节能产品、环境标志产品认证证书，对获得证书的产品实施政府优先采购。对节能产品、环境标志产品政府采购品目清单范围内，实施优先采购的产品，给予产品价格报价10%的扣除，用扣除后的价格参加评审。采购标的同时包含其它非优先采购产品的，投标人须对优先采购产品和非优先采购产品进行分项报价，非优先采购产品的报价不得享受给予节能产品、环境标志产品的价格扣除优惠。</w:t>
      </w:r>
    </w:p>
    <w:p w14:paraId="60263D1D">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具体要求如下：</w:t>
      </w:r>
    </w:p>
    <w:p w14:paraId="4C5D2906">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采购的产品属于《节能产品政府采购品目清单》范围内的产品或《环境标志产品政府采购品目清单》范围内的产品，且供应商提供的产品已取得节能（强制采购节能产品的除外）、环境标志产品认证证书（处于有效期内）。</w:t>
      </w:r>
    </w:p>
    <w:p w14:paraId="19A0EAAF">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投标人应分别明确节能或环境标志产品的名称、数量、分项报价、总报价，并提供认证证书</w:t>
      </w:r>
      <w:r>
        <w:rPr>
          <w:rFonts w:hint="eastAsia" w:ascii="宋体" w:hAnsi="宋体" w:cs="宋体"/>
          <w:color w:val="auto"/>
          <w:sz w:val="24"/>
          <w:szCs w:val="24"/>
          <w:highlight w:val="none"/>
          <w:lang w:eastAsia="zh-CN"/>
        </w:rPr>
        <w:t>扫描件</w:t>
      </w:r>
      <w:r>
        <w:rPr>
          <w:rFonts w:hint="eastAsia" w:ascii="宋体" w:hAnsi="宋体" w:eastAsia="宋体" w:cs="宋体"/>
          <w:color w:val="auto"/>
          <w:sz w:val="24"/>
          <w:szCs w:val="24"/>
          <w:highlight w:val="none"/>
        </w:rPr>
        <w:t>，否则不予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若节能产品、环境标志产品认证证书不能反映产品具体信息的，须提供认证证书附件。</w:t>
      </w:r>
      <w:r>
        <w:rPr>
          <w:rFonts w:hint="eastAsia" w:ascii="宋体" w:hAnsi="宋体" w:eastAsia="宋体" w:cs="宋体"/>
          <w:color w:val="auto"/>
          <w:sz w:val="24"/>
          <w:szCs w:val="24"/>
          <w:highlight w:val="none"/>
        </w:rPr>
        <w:t>此外，若投标人对节能或环境标志产品的报价明显高于其他同类产品的报价，投标人应按评标委员会要求作出说明并提供相关证明材料，不能合理说明或不能提供相关证明材料的，不予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p>
    <w:p w14:paraId="1B8C3CE2">
      <w:pPr>
        <w:widowControl/>
        <w:numPr>
          <w:ilvl w:val="0"/>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若节能、环境标志产品仅是构成投标产品的部件、组件或零件，则该投标产品不享受鼓励优惠政策。属于政府强制采购的节能产品不享受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325F32E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3、</w:t>
      </w:r>
      <w:r>
        <w:rPr>
          <w:rStyle w:val="12"/>
          <w:rFonts w:hint="eastAsia" w:ascii="宋体" w:hAnsi="宋体" w:eastAsia="宋体" w:cs="宋体"/>
          <w:color w:val="auto"/>
          <w:kern w:val="2"/>
          <w:sz w:val="24"/>
          <w:szCs w:val="24"/>
          <w:highlight w:val="none"/>
        </w:rPr>
        <w:t>对本国产品的支持政策</w:t>
      </w:r>
      <w:r>
        <w:rPr>
          <w:rFonts w:hint="eastAsia" w:cs="宋体"/>
          <w:color w:val="auto"/>
          <w:kern w:val="2"/>
          <w:sz w:val="24"/>
          <w:szCs w:val="24"/>
          <w:highlight w:val="none"/>
          <w:lang w:eastAsia="zh-CN"/>
        </w:rPr>
        <w:t>：</w:t>
      </w:r>
    </w:p>
    <w:p w14:paraId="375F869E">
      <w:pPr>
        <w:pStyle w:val="9"/>
        <w:widowControl/>
        <w:pBdr>
          <w:top w:val="none" w:color="auto" w:sz="0" w:space="0"/>
          <w:left w:val="none" w:color="auto" w:sz="0" w:space="0"/>
          <w:bottom w:val="none" w:color="auto" w:sz="0" w:space="0"/>
          <w:right w:val="none" w:color="auto" w:sz="0" w:space="0"/>
        </w:pBdr>
        <w:spacing w:before="24" w:beforeAutospacing="0" w:after="24" w:afterAutospacing="0" w:line="360" w:lineRule="auto"/>
        <w:ind w:firstLine="42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政府采购活动中既有本国产品又有非本国产品参与竞争的，依法对本国产品给予价格评审优惠，对本国产品的报价给予20%的价格扣除，用扣除后的价格参与评审。</w:t>
      </w:r>
    </w:p>
    <w:p w14:paraId="6E97B83F">
      <w:pPr>
        <w:pStyle w:val="9"/>
        <w:widowControl/>
        <w:pBdr>
          <w:top w:val="none" w:color="auto" w:sz="0" w:space="0"/>
          <w:left w:val="none" w:color="auto" w:sz="0" w:space="0"/>
          <w:bottom w:val="none" w:color="auto" w:sz="0" w:space="0"/>
          <w:right w:val="none" w:color="auto" w:sz="0" w:space="0"/>
        </w:pBdr>
        <w:spacing w:before="24" w:beforeAutospacing="0" w:after="24" w:afterAutospacing="0" w:line="360" w:lineRule="auto"/>
        <w:ind w:firstLine="42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3888D45D">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未提供《</w:t>
      </w:r>
      <w:r>
        <w:rPr>
          <w:rFonts w:hint="eastAsia" w:ascii="宋体" w:hAnsi="宋体" w:eastAsia="宋体" w:cs="宋体"/>
          <w:color w:val="auto"/>
          <w:sz w:val="24"/>
          <w:szCs w:val="24"/>
          <w:highlight w:val="none"/>
        </w:rPr>
        <w:t>关于符合本国产品标准的声明函</w:t>
      </w:r>
      <w:r>
        <w:rPr>
          <w:rFonts w:hint="eastAsia" w:ascii="宋体" w:hAnsi="宋体" w:eastAsia="宋体" w:cs="宋体"/>
          <w:color w:val="auto"/>
          <w:sz w:val="24"/>
          <w:szCs w:val="24"/>
          <w:highlight w:val="none"/>
          <w:lang w:val="en-US" w:eastAsia="zh-CN"/>
        </w:rPr>
        <w:t>》的不</w:t>
      </w:r>
      <w:r>
        <w:rPr>
          <w:rFonts w:hint="eastAsia" w:ascii="宋体" w:hAnsi="宋体" w:eastAsia="宋体" w:cs="宋体"/>
          <w:color w:val="auto"/>
          <w:sz w:val="24"/>
          <w:szCs w:val="24"/>
          <w:highlight w:val="none"/>
        </w:rPr>
        <w:t>给予价格评审优惠</w:t>
      </w:r>
      <w:r>
        <w:rPr>
          <w:rFonts w:hint="eastAsia" w:ascii="宋体" w:hAnsi="宋体" w:eastAsia="宋体" w:cs="宋体"/>
          <w:color w:val="auto"/>
          <w:sz w:val="24"/>
          <w:szCs w:val="24"/>
          <w:highlight w:val="none"/>
          <w:lang w:eastAsia="zh-CN"/>
        </w:rPr>
        <w:t>。</w:t>
      </w:r>
    </w:p>
    <w:p w14:paraId="278E196C">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lang w:val="en-US" w:eastAsia="zh-CN"/>
        </w:rPr>
        <w:t>4、</w:t>
      </w:r>
      <w:r>
        <w:rPr>
          <w:rFonts w:hint="eastAsia" w:ascii="宋体" w:hAnsi="宋体" w:eastAsia="宋体" w:cs="宋体"/>
          <w:color w:val="auto"/>
          <w:sz w:val="24"/>
          <w:szCs w:val="24"/>
          <w:highlight w:val="none"/>
          <w:lang w:eastAsia="zh-CN"/>
        </w:rPr>
        <w:t>异常低价审查</w:t>
      </w:r>
    </w:p>
    <w:p w14:paraId="0EA65C4C">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4.1</w:t>
      </w:r>
      <w:r>
        <w:rPr>
          <w:rFonts w:hint="eastAsia" w:ascii="宋体" w:hAnsi="宋体" w:eastAsia="宋体" w:cs="宋体"/>
          <w:color w:val="auto"/>
          <w:sz w:val="24"/>
          <w:szCs w:val="24"/>
          <w:highlight w:val="none"/>
          <w:lang w:eastAsia="zh-CN"/>
        </w:rPr>
        <w:t>政府采购评审中出现下列情形之一的，评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委员会应当启动异常低价投标审查程序：</w:t>
      </w:r>
    </w:p>
    <w:p w14:paraId="682F5215">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（1）投标报价低于全部通过符合性审查</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投标报价平均值50%的，即投标报价</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全部通过符合性审查</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投标报价平均值×50%；</w:t>
      </w:r>
    </w:p>
    <w:p w14:paraId="2CC89BDA">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）投标报价低于通过符合性审查的次低报价</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投标报价50%的，即投标报价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通过符合性审查的次低报价</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投标报价×50%；</w:t>
      </w:r>
    </w:p>
    <w:p w14:paraId="5F2E64D7">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）投标报价低于采购项目最高限价45%的，即投标报价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采购项目最高限价×45%；</w:t>
      </w:r>
    </w:p>
    <w:p w14:paraId="5EE5A489">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委员会基于专业判断，认为</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报价过低，有可能影响产品质量或者不能诚信履约的其他情形。</w:t>
      </w:r>
    </w:p>
    <w:p w14:paraId="0869CDF2">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4.2</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启动异常低价投标审查后，属于前述第</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项至第</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项情形，供应商已随投标文件一并提交相关书面说明及必要的证明材料的，在评审现场可不再重复提交。</w:t>
      </w:r>
    </w:p>
    <w:p w14:paraId="5314C43D">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依据专业经验，参考同类项目中标(成交)价格、 类似产品市场价格水平、行业人工费用标准、国家有关部门指导行业协会发布的行业平均成本等情况，对报价合理性进行判断。 投标供应商不能提供书面说明、证明材料，或者提供的书面说明、证明材料不能证明其报价合理性的，</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应当将其作为无效投标处理。</w:t>
      </w:r>
    </w:p>
    <w:p w14:paraId="06BBF2B2">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、采购代理机构应当为</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在评审现场及时获取同类项目中标(成交)价格、类似产品市场价格水平、行业人工费用标准、国家有关部门指导行业协会发布的行业平均成本等相关信息资料提供便利。</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借助互联网等渠道查询相关信息的，应当严格遵守评审工作纪律，不得实施影响评审公正的行 为 。</w:t>
      </w:r>
    </w:p>
    <w:p w14:paraId="582C74DA">
      <w:pPr>
        <w:widowControl/>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异常低价投标审查的启动原因、审查意见和审查结果应当在评审报告中记录，并随供应商提供的相关书面说明及证明材料，以及</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有关互联网浏览、查询历史一并归档。</w:t>
      </w:r>
    </w:p>
    <w:p w14:paraId="2F755810">
      <w:pPr>
        <w:tabs>
          <w:tab w:val="left" w:pos="-1080"/>
          <w:tab w:val="left" w:pos="180"/>
          <w:tab w:val="left" w:pos="1080"/>
        </w:tabs>
        <w:spacing w:line="360" w:lineRule="auto"/>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rPr>
        <w:t>）综合得分= F1+ F2 + F3 。</w:t>
      </w:r>
    </w:p>
    <w:p w14:paraId="19798DCC">
      <w:pPr>
        <w:pStyle w:val="5"/>
        <w:spacing w:line="360" w:lineRule="auto"/>
        <w:ind w:firstLine="84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备注：1、技术商务评分中涉及排名情况的评分由评标委员会根据各投标人投标文件的响应情况进行综合评议得出排名。</w:t>
      </w:r>
    </w:p>
    <w:p w14:paraId="736B8827">
      <w:pPr>
        <w:pStyle w:val="5"/>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业绩作为评分条件的，投标人须提供该业绩项目的中标（成交）公告（提供相关网站中标（成交）公告的下载网页的扫描件及其网址）、中标（成交）通知书扫描件、采购合同文本扫描件，以及能够证明该业绩项目已经</w:t>
      </w:r>
      <w:r>
        <w:rPr>
          <w:rFonts w:hint="eastAsia" w:hAnsi="宋体" w:cs="宋体"/>
          <w:color w:val="auto"/>
          <w:sz w:val="24"/>
          <w:szCs w:val="24"/>
          <w:highlight w:val="none"/>
          <w:lang w:eastAsia="zh-CN"/>
        </w:rPr>
        <w:t>采购单位</w:t>
      </w:r>
      <w:r>
        <w:rPr>
          <w:rFonts w:hint="eastAsia" w:ascii="宋体" w:hAnsi="宋体" w:eastAsia="宋体" w:cs="宋体"/>
          <w:color w:val="auto"/>
          <w:sz w:val="24"/>
          <w:szCs w:val="24"/>
          <w:highlight w:val="none"/>
        </w:rPr>
        <w:t>验收合格的相关证明文件扫描件，原件备查；如未按招标文件要求提供该项业绩完整资料的，评标委员会对该项业绩将不予采信。</w:t>
      </w:r>
    </w:p>
    <w:p w14:paraId="275586CF">
      <w:pPr>
        <w:spacing w:line="360" w:lineRule="auto"/>
        <w:ind w:firstLine="1600" w:firstLineChars="500"/>
        <w:rPr>
          <w:rFonts w:hint="eastAsia" w:ascii="宋体" w:hAnsi="宋体" w:eastAsia="宋体" w:cs="宋体"/>
          <w:color w:val="auto"/>
          <w:sz w:val="32"/>
          <w:szCs w:val="32"/>
          <w:highlight w:val="none"/>
        </w:rPr>
      </w:pPr>
    </w:p>
    <w:p w14:paraId="4EB2BF2A">
      <w:pPr>
        <w:spacing w:line="360" w:lineRule="auto"/>
        <w:ind w:firstLine="1600" w:firstLineChars="500"/>
        <w:rPr>
          <w:rFonts w:hint="eastAsia" w:ascii="宋体" w:hAnsi="宋体" w:eastAsia="宋体" w:cs="宋体"/>
          <w:color w:val="auto"/>
          <w:sz w:val="32"/>
          <w:szCs w:val="32"/>
          <w:highlight w:val="none"/>
        </w:rPr>
      </w:pPr>
    </w:p>
    <w:p w14:paraId="7BFE8DEA">
      <w:pPr>
        <w:spacing w:line="360" w:lineRule="auto"/>
        <w:ind w:firstLine="1600" w:firstLineChars="500"/>
        <w:rPr>
          <w:rFonts w:hint="eastAsia" w:ascii="宋体" w:hAnsi="宋体" w:eastAsia="宋体" w:cs="宋体"/>
          <w:color w:val="auto"/>
          <w:sz w:val="32"/>
          <w:szCs w:val="32"/>
          <w:highlight w:val="none"/>
        </w:rPr>
      </w:pPr>
    </w:p>
    <w:p w14:paraId="32C39B5F">
      <w:pPr>
        <w:spacing w:line="360" w:lineRule="auto"/>
        <w:ind w:firstLine="1600" w:firstLineChars="500"/>
        <w:rPr>
          <w:rFonts w:hint="eastAsia" w:ascii="宋体" w:hAnsi="宋体" w:eastAsia="宋体" w:cs="宋体"/>
          <w:color w:val="auto"/>
          <w:sz w:val="32"/>
          <w:szCs w:val="32"/>
          <w:highlight w:val="none"/>
        </w:rPr>
      </w:pPr>
    </w:p>
    <w:p w14:paraId="22AEA27F">
      <w:pPr>
        <w:spacing w:line="360" w:lineRule="auto"/>
        <w:ind w:firstLine="1600" w:firstLineChars="500"/>
        <w:rPr>
          <w:rFonts w:hint="eastAsia" w:ascii="宋体" w:hAnsi="宋体" w:eastAsia="宋体" w:cs="宋体"/>
          <w:color w:val="auto"/>
          <w:sz w:val="32"/>
          <w:szCs w:val="32"/>
          <w:highlight w:val="none"/>
        </w:rPr>
      </w:pPr>
    </w:p>
    <w:p w14:paraId="19F10065">
      <w:pPr>
        <w:spacing w:line="360" w:lineRule="auto"/>
        <w:ind w:firstLine="1600" w:firstLineChars="500"/>
        <w:rPr>
          <w:rFonts w:hint="eastAsia" w:ascii="宋体" w:hAnsi="宋体" w:eastAsia="宋体" w:cs="宋体"/>
          <w:color w:val="auto"/>
          <w:sz w:val="32"/>
          <w:szCs w:val="32"/>
          <w:highlight w:val="none"/>
        </w:rPr>
      </w:pPr>
    </w:p>
    <w:p w14:paraId="188FFFBE">
      <w:pPr>
        <w:spacing w:line="360" w:lineRule="auto"/>
        <w:ind w:firstLine="1600" w:firstLineChars="500"/>
        <w:rPr>
          <w:rFonts w:hint="eastAsia" w:ascii="宋体" w:hAnsi="宋体" w:eastAsia="宋体" w:cs="宋体"/>
          <w:color w:val="auto"/>
          <w:sz w:val="32"/>
          <w:szCs w:val="32"/>
          <w:highlight w:val="none"/>
        </w:rPr>
      </w:pPr>
    </w:p>
    <w:p w14:paraId="31AEB533">
      <w:pPr>
        <w:spacing w:line="360" w:lineRule="auto"/>
        <w:ind w:firstLine="1600" w:firstLineChars="500"/>
        <w:rPr>
          <w:rFonts w:hint="eastAsia" w:ascii="宋体" w:hAnsi="宋体" w:eastAsia="宋体" w:cs="宋体"/>
          <w:color w:val="auto"/>
          <w:sz w:val="32"/>
          <w:szCs w:val="32"/>
          <w:highlight w:val="none"/>
        </w:rPr>
      </w:pPr>
    </w:p>
    <w:p w14:paraId="350FCCC2">
      <w:pPr>
        <w:spacing w:line="360" w:lineRule="auto"/>
        <w:ind w:firstLine="1600" w:firstLineChars="500"/>
        <w:rPr>
          <w:rFonts w:hint="eastAsia" w:ascii="宋体" w:hAnsi="宋体" w:eastAsia="宋体" w:cs="宋体"/>
          <w:color w:val="auto"/>
          <w:sz w:val="32"/>
          <w:szCs w:val="32"/>
          <w:highlight w:val="none"/>
        </w:rPr>
      </w:pPr>
    </w:p>
    <w:p w14:paraId="524FC198">
      <w:pPr>
        <w:spacing w:line="360" w:lineRule="auto"/>
        <w:ind w:firstLine="1600" w:firstLineChars="500"/>
        <w:rPr>
          <w:rFonts w:hint="eastAsia" w:ascii="宋体" w:hAnsi="宋体" w:eastAsia="宋体" w:cs="宋体"/>
          <w:color w:val="auto"/>
          <w:sz w:val="32"/>
          <w:szCs w:val="32"/>
          <w:highlight w:val="none"/>
        </w:rPr>
      </w:pPr>
    </w:p>
    <w:p w14:paraId="6E65F5BE">
      <w:pPr>
        <w:spacing w:line="360" w:lineRule="auto"/>
        <w:ind w:firstLine="1600" w:firstLineChars="500"/>
        <w:rPr>
          <w:rFonts w:hint="eastAsia" w:ascii="宋体" w:hAnsi="宋体" w:eastAsia="宋体" w:cs="宋体"/>
          <w:color w:val="auto"/>
          <w:sz w:val="32"/>
          <w:szCs w:val="32"/>
          <w:highlight w:val="none"/>
        </w:rPr>
      </w:pPr>
    </w:p>
    <w:p w14:paraId="3DEBBEAA">
      <w:pPr>
        <w:spacing w:line="360" w:lineRule="auto"/>
        <w:ind w:firstLine="1600" w:firstLineChars="500"/>
        <w:rPr>
          <w:rFonts w:hint="eastAsia" w:ascii="宋体" w:hAnsi="宋体" w:eastAsia="宋体" w:cs="宋体"/>
          <w:color w:val="auto"/>
          <w:sz w:val="32"/>
          <w:szCs w:val="32"/>
          <w:highlight w:val="none"/>
        </w:rPr>
      </w:pPr>
    </w:p>
    <w:p w14:paraId="785FA9D7">
      <w:pPr>
        <w:spacing w:line="360" w:lineRule="auto"/>
        <w:ind w:firstLine="1600" w:firstLineChars="500"/>
        <w:rPr>
          <w:rFonts w:hint="eastAsia" w:ascii="宋体" w:hAnsi="宋体" w:eastAsia="宋体" w:cs="宋体"/>
          <w:color w:val="auto"/>
          <w:sz w:val="32"/>
          <w:szCs w:val="32"/>
          <w:highlight w:val="none"/>
        </w:rPr>
      </w:pPr>
    </w:p>
    <w:p w14:paraId="61C529B0">
      <w:pPr>
        <w:spacing w:line="360" w:lineRule="auto"/>
        <w:ind w:firstLine="1600" w:firstLineChars="500"/>
        <w:rPr>
          <w:rFonts w:hint="eastAsia" w:ascii="宋体" w:hAnsi="宋体" w:eastAsia="宋体" w:cs="宋体"/>
          <w:color w:val="auto"/>
          <w:sz w:val="32"/>
          <w:szCs w:val="32"/>
          <w:highlight w:val="none"/>
        </w:rPr>
      </w:pPr>
    </w:p>
    <w:p w14:paraId="3E84C5DA">
      <w:pPr>
        <w:spacing w:line="360" w:lineRule="auto"/>
        <w:ind w:firstLine="1600" w:firstLineChars="5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投标人须知前附表4：中小企业优惠办法</w:t>
      </w:r>
    </w:p>
    <w:tbl>
      <w:tblPr>
        <w:tblStyle w:val="11"/>
        <w:tblW w:w="85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77"/>
        <w:gridCol w:w="5973"/>
      </w:tblGrid>
      <w:tr w14:paraId="7837E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noWrap w:val="0"/>
            <w:vAlign w:val="center"/>
          </w:tcPr>
          <w:p w14:paraId="13991C2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677" w:type="dxa"/>
            <w:noWrap w:val="0"/>
            <w:vAlign w:val="center"/>
          </w:tcPr>
          <w:p w14:paraId="64D75CF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w:t>
            </w:r>
          </w:p>
        </w:tc>
        <w:tc>
          <w:tcPr>
            <w:tcW w:w="5973" w:type="dxa"/>
            <w:noWrap w:val="0"/>
            <w:vAlign w:val="center"/>
          </w:tcPr>
          <w:p w14:paraId="67CCEDA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5BCE1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900" w:type="dxa"/>
            <w:noWrap w:val="0"/>
            <w:vAlign w:val="center"/>
          </w:tcPr>
          <w:p w14:paraId="0F05A9FF">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p>
        </w:tc>
        <w:tc>
          <w:tcPr>
            <w:tcW w:w="1677" w:type="dxa"/>
            <w:noWrap w:val="0"/>
            <w:vAlign w:val="center"/>
          </w:tcPr>
          <w:p w14:paraId="31ACA1BB">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本项目是否属于预留份额专门面向中小企业采购活动</w:t>
            </w:r>
            <w:r>
              <w:rPr>
                <w:rFonts w:hint="eastAsia" w:ascii="宋体" w:hAnsi="宋体" w:eastAsia="宋体" w:cs="宋体"/>
                <w:b/>
                <w:color w:val="auto"/>
                <w:sz w:val="24"/>
                <w:szCs w:val="24"/>
                <w:highlight w:val="none"/>
              </w:rPr>
              <w:t>：</w:t>
            </w:r>
          </w:p>
        </w:tc>
        <w:tc>
          <w:tcPr>
            <w:tcW w:w="5973" w:type="dxa"/>
            <w:noWrap w:val="0"/>
            <w:vAlign w:val="center"/>
          </w:tcPr>
          <w:p w14:paraId="58011CA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tc>
      </w:tr>
      <w:tr w14:paraId="14AD0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0" w:type="dxa"/>
            <w:noWrap w:val="0"/>
            <w:vAlign w:val="center"/>
          </w:tcPr>
          <w:p w14:paraId="507A8DD4">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p>
        </w:tc>
        <w:tc>
          <w:tcPr>
            <w:tcW w:w="1677" w:type="dxa"/>
            <w:noWrap w:val="0"/>
            <w:vAlign w:val="center"/>
          </w:tcPr>
          <w:p w14:paraId="475C442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中小企业的认定标准</w:t>
            </w:r>
          </w:p>
        </w:tc>
        <w:tc>
          <w:tcPr>
            <w:tcW w:w="5973" w:type="dxa"/>
            <w:noWrap w:val="0"/>
            <w:vAlign w:val="top"/>
          </w:tcPr>
          <w:p w14:paraId="67DD038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中小企业参加政府采购活动，应当出具《中小企业声明函》，否则不得享受相关中小企业扶持政策。</w:t>
            </w:r>
          </w:p>
          <w:p w14:paraId="1AE139B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须满足以下条件，才能认定为中小企业</w:t>
            </w:r>
            <w:r>
              <w:rPr>
                <w:rFonts w:hint="eastAsia" w:ascii="宋体" w:hAnsi="宋体" w:eastAsia="宋体" w:cs="宋体"/>
                <w:b/>
                <w:color w:val="auto"/>
                <w:sz w:val="24"/>
                <w:szCs w:val="24"/>
                <w:highlight w:val="none"/>
              </w:rPr>
              <w:t>（含中型、小型、微型企业，下同）</w:t>
            </w:r>
            <w:r>
              <w:rPr>
                <w:rFonts w:hint="eastAsia" w:ascii="宋体" w:hAnsi="宋体" w:eastAsia="宋体" w:cs="宋体"/>
                <w:color w:val="auto"/>
                <w:sz w:val="24"/>
                <w:szCs w:val="24"/>
                <w:highlight w:val="none"/>
              </w:rPr>
              <w:t>：</w:t>
            </w:r>
          </w:p>
          <w:p w14:paraId="5DE4CAD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14:paraId="09DAA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atLeast"/>
          <w:jc w:val="center"/>
        </w:trPr>
        <w:tc>
          <w:tcPr>
            <w:tcW w:w="900" w:type="dxa"/>
            <w:noWrap w:val="0"/>
            <w:vAlign w:val="center"/>
          </w:tcPr>
          <w:p w14:paraId="7CFE4B0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p>
        </w:tc>
        <w:tc>
          <w:tcPr>
            <w:tcW w:w="1677" w:type="dxa"/>
            <w:noWrap w:val="0"/>
            <w:vAlign w:val="center"/>
          </w:tcPr>
          <w:p w14:paraId="3583DCFF">
            <w:pPr>
              <w:keepNext w:val="0"/>
              <w:keepLines w:val="0"/>
              <w:widowControl/>
              <w:suppressLineNumbers w:val="0"/>
              <w:spacing w:before="0" w:beforeAutospacing="0" w:after="0" w:afterAutospacing="0" w:line="360" w:lineRule="auto"/>
              <w:ind w:left="-65" w:leftChars="-31" w:right="0" w:firstLine="475" w:firstLineChars="205"/>
              <w:jc w:val="left"/>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优惠办法：</w:t>
            </w:r>
          </w:p>
        </w:tc>
        <w:tc>
          <w:tcPr>
            <w:tcW w:w="5973" w:type="dxa"/>
            <w:tcBorders>
              <w:bottom w:val="single" w:color="auto" w:sz="4" w:space="0"/>
            </w:tcBorders>
            <w:noWrap w:val="0"/>
            <w:vAlign w:val="top"/>
          </w:tcPr>
          <w:p w14:paraId="4C3BF778">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投标产品为中小企业（含中型、小型、微型企业，下同）生产：</w:t>
            </w:r>
          </w:p>
          <w:p w14:paraId="08781C86">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①投标保证金：</w:t>
            </w:r>
            <w:r>
              <w:rPr>
                <w:rFonts w:hint="eastAsia" w:ascii="宋体" w:hAnsi="宋体" w:eastAsia="宋体" w:cs="宋体"/>
                <w:color w:val="auto"/>
                <w:spacing w:val="-4"/>
                <w:sz w:val="24"/>
                <w:szCs w:val="24"/>
                <w:highlight w:val="none"/>
                <w:lang w:val="en-US" w:eastAsia="zh-CN"/>
              </w:rPr>
              <w:t>全免</w:t>
            </w:r>
          </w:p>
          <w:p w14:paraId="560477C7">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②履约保证金：按约定比例的50%支付（如果有的话）</w:t>
            </w:r>
          </w:p>
          <w:p w14:paraId="69C7714B">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③代理服务费：按招标文件规定的收费标准下调</w:t>
            </w:r>
            <w:r>
              <w:rPr>
                <w:rFonts w:hint="eastAsia" w:ascii="宋体" w:hAnsi="宋体" w:eastAsia="宋体" w:cs="宋体"/>
                <w:color w:val="auto"/>
                <w:spacing w:val="-4"/>
                <w:sz w:val="24"/>
                <w:szCs w:val="24"/>
                <w:highlight w:val="none"/>
                <w:lang w:val="en-US" w:eastAsia="zh-CN"/>
              </w:rPr>
              <w:t>1</w:t>
            </w:r>
            <w:r>
              <w:rPr>
                <w:rFonts w:hint="eastAsia" w:ascii="宋体" w:hAnsi="宋体" w:eastAsia="宋体" w:cs="宋体"/>
                <w:color w:val="auto"/>
                <w:spacing w:val="-4"/>
                <w:sz w:val="24"/>
                <w:szCs w:val="24"/>
                <w:highlight w:val="none"/>
              </w:rPr>
              <w:t>0%</w:t>
            </w:r>
          </w:p>
          <w:p w14:paraId="140A068C">
            <w:pPr>
              <w:keepNext w:val="0"/>
              <w:keepLines w:val="0"/>
              <w:suppressLineNumbers w:val="0"/>
              <w:spacing w:before="0" w:beforeAutospacing="0" w:after="0" w:afterAutospacing="0" w:line="360" w:lineRule="auto"/>
              <w:ind w:left="0" w:leftChars="0" w:right="0" w:firstLine="0" w:firstLineChars="0"/>
              <w:rPr>
                <w:rFonts w:hint="default" w:ascii="宋体" w:hAnsi="宋体" w:eastAsia="宋体" w:cs="宋体"/>
                <w:b w:val="0"/>
                <w:color w:val="auto"/>
                <w:spacing w:val="-4"/>
                <w:sz w:val="24"/>
                <w:szCs w:val="24"/>
                <w:highlight w:val="none"/>
              </w:rPr>
            </w:pPr>
          </w:p>
          <w:p w14:paraId="34736163">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投标产品为小型企业或微型企业生产：</w:t>
            </w:r>
          </w:p>
          <w:p w14:paraId="2C05504B">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投标人提供的货物既有中型企业制造，也有小微企业制造的，不享受办法规定的小微企业扶持政策。</w:t>
            </w:r>
          </w:p>
          <w:p w14:paraId="6004E6C5">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对其提供的小型或微型企业产品的投标报价给予20%的扣除，扣除后的价格作为该投标人的评标价参与价格评分。</w:t>
            </w:r>
          </w:p>
          <w:p w14:paraId="404059FC">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5236B470">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5EADD15D">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default" w:ascii="宋体" w:hAnsi="宋体" w:eastAsia="宋体" w:cs="宋体"/>
                <w:b w:val="0"/>
                <w:color w:val="auto"/>
                <w:spacing w:val="-4"/>
                <w:sz w:val="24"/>
                <w:szCs w:val="24"/>
                <w:highlight w:val="none"/>
              </w:rPr>
              <w:t>若本项目属于预留份额专门面向中小企业采购活动，不再执行价格评审优惠的扶持政策。</w:t>
            </w:r>
          </w:p>
        </w:tc>
      </w:tr>
      <w:tr w14:paraId="48163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2444050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dstrike/>
                <w:color w:val="auto"/>
                <w:sz w:val="24"/>
                <w:szCs w:val="24"/>
                <w:highlight w:val="none"/>
              </w:rPr>
            </w:pPr>
            <w:r>
              <w:rPr>
                <w:rFonts w:hint="eastAsia" w:ascii="宋体" w:hAnsi="宋体" w:eastAsia="宋体" w:cs="宋体"/>
                <w:b/>
                <w:color w:val="auto"/>
                <w:sz w:val="24"/>
                <w:szCs w:val="24"/>
                <w:highlight w:val="none"/>
              </w:rPr>
              <w:t>4</w:t>
            </w:r>
          </w:p>
        </w:tc>
        <w:tc>
          <w:tcPr>
            <w:tcW w:w="1677" w:type="dxa"/>
            <w:noWrap w:val="0"/>
            <w:vAlign w:val="center"/>
          </w:tcPr>
          <w:p w14:paraId="64AAD122">
            <w:pPr>
              <w:pStyle w:val="9"/>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本项目对应的中小企业划分标准所属</w:t>
            </w:r>
            <w:r>
              <w:rPr>
                <w:rFonts w:hint="eastAsia" w:ascii="宋体" w:hAnsi="宋体" w:eastAsia="宋体" w:cs="宋体"/>
                <w:color w:val="auto"/>
                <w:sz w:val="24"/>
                <w:szCs w:val="24"/>
                <w:highlight w:val="none"/>
                <w:u w:val="single"/>
              </w:rPr>
              <w:t xml:space="preserve"> </w:t>
            </w:r>
            <w:r>
              <w:rPr>
                <w:rFonts w:hint="eastAsia" w:ascii="宋体" w:hAnsi="宋体" w:eastAsia="宋体" w:cs="宋体"/>
                <w:b/>
                <w:bCs/>
                <w:color w:val="auto"/>
                <w:sz w:val="24"/>
                <w:szCs w:val="24"/>
                <w:highlight w:val="none"/>
              </w:rPr>
              <w:t>工业</w:t>
            </w:r>
            <w:r>
              <w:rPr>
                <w:rFonts w:hint="eastAsia" w:ascii="宋体" w:hAnsi="宋体" w:eastAsia="宋体" w:cs="宋体"/>
                <w:color w:val="auto"/>
                <w:sz w:val="24"/>
                <w:szCs w:val="24"/>
                <w:highlight w:val="none"/>
                <w:u w:val="single"/>
              </w:rPr>
              <w:t xml:space="preserve">   行业。</w:t>
            </w:r>
          </w:p>
        </w:tc>
        <w:tc>
          <w:tcPr>
            <w:tcW w:w="5973" w:type="dxa"/>
            <w:tcBorders>
              <w:bottom w:val="single" w:color="auto" w:sz="4" w:space="0"/>
            </w:tcBorders>
            <w:noWrap w:val="0"/>
            <w:vAlign w:val="top"/>
          </w:tcPr>
          <w:p w14:paraId="08DE072B">
            <w:pPr>
              <w:keepNext w:val="0"/>
              <w:keepLines w:val="0"/>
              <w:suppressLineNumbers w:val="0"/>
              <w:spacing w:before="0" w:beforeAutospacing="0" w:after="0" w:afterAutospacing="0" w:line="360" w:lineRule="auto"/>
              <w:ind w:left="0" w:right="0"/>
              <w:rPr>
                <w:rFonts w:hint="eastAsia" w:ascii="宋体" w:hAnsi="宋体" w:eastAsia="宋体" w:cs="宋体"/>
                <w:dstrike/>
                <w:color w:val="auto"/>
                <w:sz w:val="24"/>
                <w:szCs w:val="24"/>
                <w:highlight w:val="none"/>
                <w:u w:val="single"/>
              </w:rPr>
            </w:pPr>
            <w:r>
              <w:rPr>
                <w:rFonts w:hint="eastAsia" w:ascii="宋体" w:hAnsi="宋体" w:eastAsia="宋体" w:cs="宋体"/>
                <w:color w:val="auto"/>
                <w:sz w:val="24"/>
                <w:szCs w:val="24"/>
                <w:highlight w:val="none"/>
              </w:rPr>
              <w:t>现行中小企业划分标准行业包括农、林、牧、渔业，工业，建筑业，批发业，零售业，交通运输业，仓储业，邮政业，住宿业，餐饮业，信息传输业，软件和信息技术服务业，房地产开发经营，物业管理，</w:t>
            </w:r>
            <w:r>
              <w:rPr>
                <w:rFonts w:hint="eastAsia" w:ascii="宋体" w:hAnsi="宋体" w:cs="宋体"/>
                <w:color w:val="auto"/>
                <w:sz w:val="24"/>
                <w:szCs w:val="24"/>
                <w:highlight w:val="none"/>
                <w:lang w:eastAsia="zh-CN"/>
              </w:rPr>
              <w:t>租赁和商务服务业</w:t>
            </w:r>
            <w:r>
              <w:rPr>
                <w:rFonts w:hint="eastAsia" w:ascii="宋体" w:hAnsi="宋体" w:eastAsia="宋体" w:cs="宋体"/>
                <w:color w:val="auto"/>
                <w:sz w:val="24"/>
                <w:szCs w:val="24"/>
                <w:highlight w:val="none"/>
              </w:rPr>
              <w:t>和其他未列明行业等十六类。</w:t>
            </w:r>
          </w:p>
        </w:tc>
      </w:tr>
      <w:tr w14:paraId="65EA2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5AA9E36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w:t>
            </w:r>
          </w:p>
        </w:tc>
        <w:tc>
          <w:tcPr>
            <w:tcW w:w="1677" w:type="dxa"/>
            <w:noWrap w:val="0"/>
            <w:vAlign w:val="center"/>
          </w:tcPr>
          <w:p w14:paraId="35B783A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相关风险</w:t>
            </w:r>
          </w:p>
        </w:tc>
        <w:tc>
          <w:tcPr>
            <w:tcW w:w="5973" w:type="dxa"/>
            <w:tcBorders>
              <w:bottom w:val="single" w:color="auto" w:sz="4" w:space="0"/>
            </w:tcBorders>
            <w:noWrap w:val="0"/>
            <w:vAlign w:val="top"/>
          </w:tcPr>
          <w:p w14:paraId="453F7003">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一、经评标委员会评审，存在下列任一情况的，投标人将不被视为中小企业：</w:t>
            </w:r>
          </w:p>
          <w:p w14:paraId="03283CF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.投标货物全部或部分为使用大型企业注册商标的货物的；</w:t>
            </w:r>
          </w:p>
          <w:p w14:paraId="1E6820B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.投标文件中标明的中小企业产品的制造商不符合“工信部联企业[2011]300号”规定的中小企业标准的；</w:t>
            </w:r>
          </w:p>
          <w:p w14:paraId="34D70F76">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二、提供虚假声明后果：</w:t>
            </w:r>
          </w:p>
          <w:p w14:paraId="3FCF050E">
            <w:pPr>
              <w:keepNext w:val="0"/>
              <w:keepLines w:val="0"/>
              <w:widowControl/>
              <w:suppressLineNumbers w:val="0"/>
              <w:spacing w:before="0" w:beforeAutospacing="0" w:after="0" w:afterAutospacing="0" w:line="360" w:lineRule="auto"/>
              <w:ind w:left="0" w:right="0"/>
              <w:rPr>
                <w:rFonts w:hint="eastAsia" w:ascii="宋体" w:hAnsi="宋体" w:eastAsia="宋体" w:cs="宋体"/>
                <w:b/>
                <w:i/>
                <w:color w:val="auto"/>
                <w:kern w:val="0"/>
                <w:sz w:val="24"/>
                <w:szCs w:val="24"/>
                <w:highlight w:val="none"/>
                <w:u w:val="single"/>
              </w:rPr>
            </w:pPr>
            <w:r>
              <w:rPr>
                <w:rFonts w:hint="eastAsia" w:ascii="宋体" w:hAnsi="宋体" w:eastAsia="宋体" w:cs="宋体"/>
                <w:color w:val="auto"/>
                <w:kern w:val="0"/>
                <w:sz w:val="24"/>
                <w:szCs w:val="24"/>
                <w:highlight w:val="none"/>
              </w:rPr>
              <w:t>投标人为取得中小企业身份而提供虚假声明，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、招标代理机构将有关情况上报政府采购监管部门，由监管部门按有关规定对其进行相应处罚。</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w:t>
            </w:r>
            <w:r>
              <w:rPr>
                <w:rFonts w:hint="eastAsia" w:ascii="宋体" w:hAnsi="宋体" w:eastAsia="宋体" w:cs="宋体"/>
                <w:color w:val="auto"/>
                <w:sz w:val="24"/>
                <w:szCs w:val="24"/>
                <w:highlight w:val="none"/>
              </w:rPr>
              <w:t>有权上报财政部门，建议财政部门将该投标人列入不良行为记录名单，在一至三年内禁止该投标人参加政府采购活动并予以通报。</w:t>
            </w:r>
            <w:r>
              <w:rPr>
                <w:rFonts w:hint="eastAsia" w:ascii="宋体" w:hAnsi="宋体" w:eastAsia="宋体" w:cs="宋体"/>
                <w:b/>
                <w:i/>
                <w:color w:val="auto"/>
                <w:kern w:val="0"/>
                <w:sz w:val="24"/>
                <w:szCs w:val="24"/>
                <w:highlight w:val="none"/>
                <w:u w:val="single"/>
              </w:rPr>
              <w:t>（提醒：如果投不满足中小企业的认定标准，则不需要提供《中小企业声明函》，否则因此导致虚假应标的后果由投标人自行承担。）</w:t>
            </w:r>
          </w:p>
        </w:tc>
      </w:tr>
    </w:tbl>
    <w:p w14:paraId="60EA0E1C">
      <w:pPr>
        <w:spacing w:line="360" w:lineRule="auto"/>
        <w:ind w:firstLine="482" w:firstLineChars="200"/>
        <w:rPr>
          <w:rFonts w:hint="eastAsia" w:ascii="宋体" w:hAnsi="宋体" w:eastAsia="宋体" w:cs="宋体"/>
          <w:b/>
          <w:bCs/>
          <w:color w:val="auto"/>
          <w:sz w:val="24"/>
          <w:szCs w:val="24"/>
          <w:highlight w:val="none"/>
        </w:rPr>
        <w:sectPr>
          <w:footerReference r:id="rId7" w:type="default"/>
          <w:pgSz w:w="11907" w:h="16840"/>
          <w:pgMar w:top="1440" w:right="1752" w:bottom="1290" w:left="1752" w:header="851" w:footer="992" w:gutter="0"/>
          <w:pgNumType w:start="1"/>
          <w:cols w:space="720" w:num="1"/>
          <w:docGrid w:linePitch="323" w:charSpace="-2"/>
        </w:sectPr>
      </w:pPr>
    </w:p>
    <w:p w14:paraId="2C0ECBBB">
      <w:pPr>
        <w:pStyle w:val="2"/>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 xml:space="preserve">第三章  </w:t>
      </w:r>
      <w:r>
        <w:rPr>
          <w:rFonts w:hint="eastAsia" w:ascii="宋体" w:hAnsi="宋体" w:eastAsia="宋体" w:cs="宋体"/>
          <w:b/>
          <w:bCs/>
          <w:color w:val="auto"/>
          <w:sz w:val="32"/>
          <w:szCs w:val="32"/>
          <w:highlight w:val="none"/>
        </w:rPr>
        <w:t>招标内容及要求</w:t>
      </w:r>
    </w:p>
    <w:p w14:paraId="113752F9">
      <w:pPr>
        <w:pStyle w:val="6"/>
        <w:spacing w:after="0" w:line="360" w:lineRule="auto"/>
        <w:ind w:left="181" w:leftChars="86"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提示说明：</w:t>
      </w:r>
    </w:p>
    <w:p w14:paraId="39DD6C9A">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（1）全文中带有“</w:t>
      </w: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”的条款为关键性条款，对这些关键性条款的任何负偏离或不满足将导致该投标作无效投标处理。</w:t>
      </w:r>
      <w:r>
        <w:rPr>
          <w:rFonts w:hint="eastAsia" w:ascii="宋体" w:hAnsi="宋体" w:eastAsia="宋体" w:cs="宋体"/>
          <w:b/>
          <w:color w:val="auto"/>
          <w:sz w:val="24"/>
          <w:szCs w:val="24"/>
          <w:highlight w:val="none"/>
        </w:rPr>
        <w:t>投标人应对招标文件中的“</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”号条款进行逐条响应，否则评标委员会对其投标做出不利评审，投标人必须自行承担责任。</w:t>
      </w:r>
    </w:p>
    <w:p w14:paraId="2C87CEE5">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（2）本项目以合同包为单位，对于每个合同包，投标人必须完整地提供合同包要求的所有货物和服务，否则该投标人针对该合同包的投标将按照无效投标处理。</w:t>
      </w:r>
    </w:p>
    <w:p w14:paraId="5C8B789D">
      <w:pPr>
        <w:pStyle w:val="6"/>
        <w:spacing w:after="0" w:line="360" w:lineRule="auto"/>
        <w:ind w:left="0"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（3）若招标文件第三章所述内容与其它部分的条款发生理解冲突，则以第三章所述内容为准；如招标文件发生变更，则相关条款的解释以更改通知为准。</w:t>
      </w:r>
    </w:p>
    <w:p w14:paraId="3DF50184">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（4）经评标委员会认定要</w:t>
      </w:r>
      <w:bookmarkStart w:id="2" w:name="_GoBack"/>
      <w:bookmarkEnd w:id="2"/>
      <w:r>
        <w:rPr>
          <w:rFonts w:hint="eastAsia" w:ascii="宋体" w:hAnsi="宋体" w:eastAsia="宋体" w:cs="宋体"/>
          <w:b/>
          <w:bCs/>
          <w:color w:val="auto"/>
          <w:sz w:val="24"/>
          <w:szCs w:val="24"/>
          <w:highlight w:val="none"/>
        </w:rPr>
        <w:t>求澄清的证明文件必须在规定的时间内提供，否则其将不具有中标供应商的资格。</w:t>
      </w:r>
    </w:p>
    <w:p w14:paraId="7445149B">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（5）本项目实行网上发售招标文件的方式，招标文件的正式文本以厦门招投标网上下载的内容为准。</w:t>
      </w:r>
    </w:p>
    <w:p w14:paraId="466D11E1">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（6）资格性证明文件请单独成册。</w:t>
      </w:r>
    </w:p>
    <w:p w14:paraId="2A03204F">
      <w:pPr>
        <w:tabs>
          <w:tab w:val="left" w:pos="5130"/>
        </w:tabs>
        <w:spacing w:line="360" w:lineRule="auto"/>
        <w:ind w:firstLine="480" w:firstLineChars="200"/>
        <w:rPr>
          <w:rFonts w:hint="eastAsia" w:ascii="宋体" w:hAnsi="宋体" w:eastAsia="宋体" w:cs="宋体"/>
          <w:color w:val="auto"/>
          <w:sz w:val="24"/>
          <w:szCs w:val="24"/>
          <w:highlight w:val="none"/>
        </w:rPr>
      </w:pPr>
    </w:p>
    <w:p w14:paraId="006F4F2D">
      <w:pPr>
        <w:tabs>
          <w:tab w:val="left" w:pos="5130"/>
        </w:tabs>
        <w:spacing w:line="360" w:lineRule="auto"/>
        <w:ind w:firstLine="480" w:firstLineChars="200"/>
        <w:rPr>
          <w:rFonts w:hint="eastAsia" w:ascii="宋体" w:hAnsi="宋体" w:eastAsia="宋体" w:cs="宋体"/>
          <w:color w:val="auto"/>
          <w:sz w:val="24"/>
          <w:szCs w:val="24"/>
          <w:highlight w:val="none"/>
        </w:rPr>
      </w:pPr>
    </w:p>
    <w:p w14:paraId="3892CD8A">
      <w:pPr>
        <w:tabs>
          <w:tab w:val="left" w:pos="5130"/>
        </w:tabs>
        <w:spacing w:line="360" w:lineRule="auto"/>
        <w:ind w:firstLine="480" w:firstLineChars="200"/>
        <w:rPr>
          <w:rFonts w:hint="eastAsia" w:ascii="宋体" w:hAnsi="宋体" w:eastAsia="宋体" w:cs="宋体"/>
          <w:color w:val="auto"/>
          <w:sz w:val="24"/>
          <w:szCs w:val="24"/>
          <w:highlight w:val="none"/>
        </w:rPr>
      </w:pPr>
    </w:p>
    <w:p w14:paraId="091B35D3">
      <w:pPr>
        <w:tabs>
          <w:tab w:val="left" w:pos="5130"/>
        </w:tabs>
        <w:spacing w:line="360" w:lineRule="auto"/>
        <w:ind w:firstLine="480" w:firstLineChars="200"/>
        <w:rPr>
          <w:rFonts w:hint="eastAsia" w:ascii="宋体" w:hAnsi="宋体" w:eastAsia="宋体" w:cs="宋体"/>
          <w:color w:val="auto"/>
          <w:sz w:val="24"/>
          <w:szCs w:val="24"/>
          <w:highlight w:val="none"/>
        </w:rPr>
      </w:pPr>
    </w:p>
    <w:p w14:paraId="6F5B1FC6">
      <w:pPr>
        <w:tabs>
          <w:tab w:val="left" w:pos="5130"/>
        </w:tabs>
        <w:spacing w:line="360" w:lineRule="auto"/>
        <w:ind w:firstLine="480" w:firstLineChars="200"/>
        <w:rPr>
          <w:rFonts w:hint="eastAsia" w:ascii="宋体" w:hAnsi="宋体" w:eastAsia="宋体" w:cs="宋体"/>
          <w:color w:val="auto"/>
          <w:sz w:val="24"/>
          <w:szCs w:val="24"/>
          <w:highlight w:val="none"/>
        </w:rPr>
      </w:pPr>
    </w:p>
    <w:p w14:paraId="1A4A074E">
      <w:pPr>
        <w:tabs>
          <w:tab w:val="left" w:pos="5130"/>
        </w:tabs>
        <w:spacing w:line="360" w:lineRule="auto"/>
        <w:ind w:firstLine="480" w:firstLineChars="200"/>
        <w:rPr>
          <w:rFonts w:hint="eastAsia" w:ascii="宋体" w:hAnsi="宋体" w:eastAsia="宋体" w:cs="宋体"/>
          <w:color w:val="auto"/>
          <w:sz w:val="24"/>
          <w:szCs w:val="24"/>
          <w:highlight w:val="none"/>
        </w:rPr>
      </w:pPr>
    </w:p>
    <w:p w14:paraId="5716D614">
      <w:pPr>
        <w:tabs>
          <w:tab w:val="left" w:pos="5130"/>
        </w:tabs>
        <w:spacing w:line="360" w:lineRule="auto"/>
        <w:ind w:firstLine="480" w:firstLineChars="200"/>
        <w:rPr>
          <w:rFonts w:hint="eastAsia" w:ascii="宋体" w:hAnsi="宋体" w:eastAsia="宋体" w:cs="宋体"/>
          <w:color w:val="auto"/>
          <w:sz w:val="24"/>
          <w:szCs w:val="24"/>
          <w:highlight w:val="none"/>
        </w:rPr>
      </w:pPr>
    </w:p>
    <w:p w14:paraId="76B5CC94">
      <w:pPr>
        <w:tabs>
          <w:tab w:val="left" w:pos="5130"/>
        </w:tabs>
        <w:spacing w:line="360" w:lineRule="auto"/>
        <w:ind w:firstLine="480" w:firstLineChars="200"/>
        <w:rPr>
          <w:rFonts w:hint="eastAsia" w:ascii="宋体" w:hAnsi="宋体" w:eastAsia="宋体" w:cs="宋体"/>
          <w:color w:val="auto"/>
          <w:sz w:val="24"/>
          <w:szCs w:val="24"/>
          <w:highlight w:val="none"/>
        </w:rPr>
      </w:pPr>
    </w:p>
    <w:p w14:paraId="559DE8B5">
      <w:pPr>
        <w:tabs>
          <w:tab w:val="left" w:pos="5130"/>
        </w:tabs>
        <w:spacing w:line="360" w:lineRule="auto"/>
        <w:ind w:firstLine="480" w:firstLineChars="200"/>
        <w:rPr>
          <w:rFonts w:hint="eastAsia" w:ascii="宋体" w:hAnsi="宋体" w:eastAsia="宋体" w:cs="宋体"/>
          <w:color w:val="auto"/>
          <w:sz w:val="24"/>
          <w:szCs w:val="24"/>
          <w:highlight w:val="none"/>
        </w:rPr>
      </w:pPr>
    </w:p>
    <w:p w14:paraId="45B33D44">
      <w:pPr>
        <w:tabs>
          <w:tab w:val="left" w:pos="5130"/>
        </w:tabs>
        <w:spacing w:line="360" w:lineRule="auto"/>
        <w:ind w:firstLine="480" w:firstLineChars="200"/>
        <w:rPr>
          <w:rFonts w:hint="eastAsia" w:ascii="宋体" w:hAnsi="宋体" w:eastAsia="宋体" w:cs="宋体"/>
          <w:color w:val="auto"/>
          <w:sz w:val="24"/>
          <w:szCs w:val="24"/>
          <w:highlight w:val="none"/>
        </w:rPr>
      </w:pPr>
    </w:p>
    <w:p w14:paraId="15F28329">
      <w:pPr>
        <w:tabs>
          <w:tab w:val="left" w:pos="5130"/>
        </w:tabs>
        <w:spacing w:line="360" w:lineRule="auto"/>
        <w:ind w:firstLine="480" w:firstLineChars="200"/>
        <w:rPr>
          <w:rFonts w:hint="eastAsia" w:ascii="宋体" w:hAnsi="宋体" w:eastAsia="宋体" w:cs="宋体"/>
          <w:color w:val="auto"/>
          <w:sz w:val="24"/>
          <w:szCs w:val="24"/>
          <w:highlight w:val="none"/>
        </w:rPr>
      </w:pPr>
    </w:p>
    <w:p w14:paraId="3448AA31">
      <w:pPr>
        <w:tabs>
          <w:tab w:val="left" w:pos="5130"/>
        </w:tabs>
        <w:spacing w:line="360" w:lineRule="auto"/>
        <w:ind w:firstLine="480" w:firstLineChars="200"/>
        <w:rPr>
          <w:rFonts w:hint="eastAsia" w:ascii="宋体" w:hAnsi="宋体" w:eastAsia="宋体" w:cs="宋体"/>
          <w:color w:val="auto"/>
          <w:sz w:val="24"/>
          <w:szCs w:val="24"/>
          <w:highlight w:val="none"/>
        </w:rPr>
      </w:pPr>
    </w:p>
    <w:p w14:paraId="6B7863AB">
      <w:pPr>
        <w:tabs>
          <w:tab w:val="left" w:pos="5130"/>
        </w:tabs>
        <w:spacing w:line="360" w:lineRule="auto"/>
        <w:ind w:firstLine="480" w:firstLineChars="200"/>
        <w:rPr>
          <w:rFonts w:hint="eastAsia" w:ascii="宋体" w:hAnsi="宋体" w:eastAsia="宋体" w:cs="宋体"/>
          <w:color w:val="auto"/>
          <w:sz w:val="24"/>
          <w:szCs w:val="24"/>
          <w:highlight w:val="none"/>
        </w:rPr>
      </w:pPr>
    </w:p>
    <w:p w14:paraId="7572A2AA">
      <w:pPr>
        <w:pStyle w:val="16"/>
        <w:spacing w:line="360" w:lineRule="auto"/>
        <w:jc w:val="both"/>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一、项目概况（采购标的）</w:t>
      </w:r>
    </w:p>
    <w:p w14:paraId="3A501AD7">
      <w:pPr>
        <w:pStyle w:val="16"/>
        <w:spacing w:line="360" w:lineRule="auto"/>
        <w:ind w:right="30" w:firstLine="588"/>
        <w:jc w:val="left"/>
        <w:rPr>
          <w:rFonts w:ascii="宋体" w:hAnsi="宋体" w:eastAsia="宋体" w:cs="宋体"/>
          <w:color w:val="auto"/>
          <w:sz w:val="24"/>
          <w:szCs w:val="24"/>
          <w:highlight w:val="none"/>
        </w:rPr>
      </w:pPr>
      <w:r>
        <w:rPr>
          <w:rFonts w:ascii="宋体" w:hAnsi="宋体" w:eastAsia="宋体" w:cs="宋体"/>
          <w:b/>
          <w:color w:val="auto"/>
          <w:sz w:val="24"/>
          <w:szCs w:val="24"/>
          <w:highlight w:val="none"/>
        </w:rPr>
        <w:t>1.采购内容（详见附件一采购清单,详见附件二样品清单及说明）。</w:t>
      </w:r>
    </w:p>
    <w:p w14:paraId="05AD7733">
      <w:pPr>
        <w:pStyle w:val="16"/>
        <w:spacing w:line="360" w:lineRule="auto"/>
        <w:ind w:firstLine="481"/>
        <w:jc w:val="both"/>
        <w:rPr>
          <w:rFonts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2</w:t>
      </w:r>
      <w:r>
        <w:rPr>
          <w:rFonts w:ascii="宋体" w:hAnsi="宋体" w:eastAsia="宋体" w:cs="宋体"/>
          <w:b w:val="0"/>
          <w:bCs/>
          <w:color w:val="auto"/>
          <w:sz w:val="24"/>
          <w:szCs w:val="24"/>
          <w:highlight w:val="none"/>
        </w:rPr>
        <w:t>.上述清单中的家具需与学校现有的办公家具配套，颜色、款式、质量由投标人提供，经</w:t>
      </w:r>
      <w:r>
        <w:rPr>
          <w:rFonts w:hint="eastAsia" w:ascii="宋体" w:hAnsi="宋体" w:eastAsia="宋体" w:cs="宋体"/>
          <w:b w:val="0"/>
          <w:bCs/>
          <w:color w:val="auto"/>
          <w:sz w:val="24"/>
          <w:szCs w:val="24"/>
          <w:highlight w:val="none"/>
          <w:lang w:eastAsia="zh-CN"/>
        </w:rPr>
        <w:t>使用单位</w:t>
      </w:r>
      <w:r>
        <w:rPr>
          <w:rFonts w:ascii="宋体" w:hAnsi="宋体" w:eastAsia="宋体" w:cs="宋体"/>
          <w:b w:val="0"/>
          <w:bCs/>
          <w:color w:val="auto"/>
          <w:sz w:val="24"/>
          <w:szCs w:val="24"/>
          <w:highlight w:val="none"/>
        </w:rPr>
        <w:t>验收合格同意后方可生产供应，投标人不得提出任何异议。</w:t>
      </w:r>
    </w:p>
    <w:p w14:paraId="0AE482F0">
      <w:pPr>
        <w:pStyle w:val="16"/>
        <w:spacing w:line="360" w:lineRule="auto"/>
        <w:ind w:firstLine="481"/>
        <w:jc w:val="both"/>
        <w:rPr>
          <w:rFonts w:hint="default"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w:t>
      </w:r>
      <w:r>
        <w:rPr>
          <w:rFonts w:hint="eastAsia" w:ascii="Times New Roman" w:hAnsi="Times New Roman" w:eastAsia="宋体" w:cs="宋体"/>
          <w:color w:val="auto"/>
          <w:kern w:val="2"/>
          <w:sz w:val="24"/>
          <w:szCs w:val="24"/>
          <w:highlight w:val="none"/>
          <w:lang w:val="en-US" w:eastAsia="zh-CN" w:bidi="ar-SA"/>
        </w:rPr>
        <w:t>核心产品：（三连体三人位）组合公寓床。</w:t>
      </w:r>
    </w:p>
    <w:p w14:paraId="1E6BD208">
      <w:pPr>
        <w:pStyle w:val="16"/>
        <w:spacing w:line="360" w:lineRule="auto"/>
        <w:ind w:firstLine="0"/>
        <w:jc w:val="both"/>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二、技术和服务要求（以“★”标示的内容为不允许负偏离的实质性要求）</w:t>
      </w:r>
    </w:p>
    <w:p w14:paraId="49B1CE94">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1．中标供应商生产前提供具体图纸供</w:t>
      </w:r>
      <w:r>
        <w:rPr>
          <w:rFonts w:hint="eastAsia" w:ascii="宋体" w:hAnsi="宋体" w:eastAsia="宋体" w:cs="宋体"/>
          <w:b w:val="0"/>
          <w:bCs/>
          <w:color w:val="auto"/>
          <w:sz w:val="24"/>
          <w:szCs w:val="24"/>
          <w:highlight w:val="none"/>
          <w:lang w:eastAsia="zh-CN"/>
        </w:rPr>
        <w:t>使用单位</w:t>
      </w:r>
      <w:r>
        <w:rPr>
          <w:rFonts w:ascii="宋体" w:hAnsi="宋体" w:eastAsia="宋体" w:cs="宋体"/>
          <w:b w:val="0"/>
          <w:bCs/>
          <w:color w:val="auto"/>
          <w:sz w:val="24"/>
          <w:szCs w:val="24"/>
          <w:highlight w:val="none"/>
        </w:rPr>
        <w:t>确认方可生产，价格不得调整。</w:t>
      </w:r>
    </w:p>
    <w:p w14:paraId="2D9FF6E5">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2．投标人应严格按照采购文件的规格、数量、技术及材质等要求进行报价。</w:t>
      </w:r>
    </w:p>
    <w:p w14:paraId="4DD13EE9">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3．投标人应在投标文件中提供主要生产设备清单（需提供主要生产加工设备、产地、数量、价值）。</w:t>
      </w:r>
    </w:p>
    <w:p w14:paraId="3992297F">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4．投标人应在投标文件中提供质量管理、技术力量说明（主要生产技术骨干、质管人员的数量和职称）。</w:t>
      </w:r>
    </w:p>
    <w:p w14:paraId="37ADE5BD">
      <w:pPr>
        <w:spacing w:line="360" w:lineRule="auto"/>
        <w:ind w:firstLine="480" w:firstLineChars="200"/>
        <w:rPr>
          <w:rFonts w:ascii="宋体" w:hAnsi="宋体" w:eastAsia="宋体" w:cs="宋体"/>
          <w:color w:val="auto"/>
          <w:sz w:val="24"/>
          <w:szCs w:val="24"/>
          <w:highlight w:val="none"/>
        </w:rPr>
      </w:pPr>
      <w:r>
        <w:rPr>
          <w:rFonts w:ascii="宋体" w:hAnsi="宋体" w:eastAsia="宋体" w:cs="宋体"/>
          <w:b w:val="0"/>
          <w:bCs/>
          <w:color w:val="auto"/>
          <w:sz w:val="24"/>
          <w:szCs w:val="24"/>
          <w:highlight w:val="none"/>
        </w:rPr>
        <w:t>5．投标人应根据国家标准</w:t>
      </w:r>
      <w:r>
        <w:rPr>
          <w:rFonts w:hint="eastAsia" w:ascii="宋体" w:hAnsi="宋体" w:eastAsia="宋体" w:cs="宋体"/>
          <w:b w:val="0"/>
          <w:bCs/>
          <w:color w:val="auto"/>
          <w:sz w:val="24"/>
          <w:szCs w:val="24"/>
          <w:highlight w:val="none"/>
          <w:lang w:eastAsia="zh-CN"/>
        </w:rPr>
        <w:t>：</w:t>
      </w:r>
      <w:r>
        <w:rPr>
          <w:rFonts w:ascii="宋体" w:hAnsi="宋体" w:eastAsia="宋体" w:cs="宋体"/>
          <w:color w:val="auto"/>
          <w:sz w:val="24"/>
          <w:szCs w:val="24"/>
          <w:highlight w:val="none"/>
        </w:rPr>
        <w:t>符合相关国家、行业等标准，包括但不限于以下标准：</w:t>
      </w:r>
    </w:p>
    <w:p w14:paraId="55BA2E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 18581《木器涂料中有害物质限量》</w:t>
      </w:r>
    </w:p>
    <w:p w14:paraId="362E51B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HG/T 2006《热固性粉末涂料》</w:t>
      </w:r>
    </w:p>
    <w:p w14:paraId="1EEFE7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QB/T 4071 《课桌椅》</w:t>
      </w:r>
    </w:p>
    <w:p w14:paraId="79E734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35607 《绿色产品评价 家具》</w:t>
      </w:r>
    </w:p>
    <w:p w14:paraId="60FFD2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 20286《公共场所阻燃制品及组件燃烧性能要求和标识》</w:t>
      </w:r>
    </w:p>
    <w:p w14:paraId="075DC9A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QB/T 2280 《办公家具办公椅》</w:t>
      </w:r>
    </w:p>
    <w:p w14:paraId="5B2119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GB/T3325 《金属家具通用技术条件》</w:t>
      </w:r>
    </w:p>
    <w:p w14:paraId="4AC02DE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 18584《室内装饰装修材料 木家具中有害物质限量》</w:t>
      </w:r>
    </w:p>
    <w:p w14:paraId="792D7CE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GB/T11718《中密度纤维板》</w:t>
      </w:r>
    </w:p>
    <w:p w14:paraId="4C19C1B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GB/T4897《刨花板》</w:t>
      </w:r>
    </w:p>
    <w:p w14:paraId="17D51B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GB/T9846《普通胶合板》</w:t>
      </w:r>
    </w:p>
    <w:p w14:paraId="0A0D4C4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GB18580</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《室内装饰装修材料 人造板及其制品中甲醛释放限量》</w:t>
      </w:r>
    </w:p>
    <w:p w14:paraId="5A78C36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GB/T39600《人造板及其制品甲醛释放量分级》</w:t>
      </w:r>
    </w:p>
    <w:p w14:paraId="363C34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GB/T35601《绿色产品评价 人造板和木质地板》</w:t>
      </w:r>
    </w:p>
    <w:p w14:paraId="1DA646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JC/T2039</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《抗菌防霉木质装饰板》</w:t>
      </w:r>
    </w:p>
    <w:p w14:paraId="634041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QB/T 2280 《办公家具办公椅》</w:t>
      </w:r>
    </w:p>
    <w:p w14:paraId="7B6980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QB/T 4463《家具用封边条技术要求》</w:t>
      </w:r>
    </w:p>
    <w:p w14:paraId="331B75F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 18583 《室内装饰装修材料 胶粘剂中有害物质限量》</w:t>
      </w:r>
    </w:p>
    <w:p w14:paraId="3428B5B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QB/T 2189《家具五金  杯状暗铰链》</w:t>
      </w:r>
    </w:p>
    <w:p w14:paraId="5DF003D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QB/T 3827《轻工产品金属镀层和化学处理层的耐腐蚀试验方法 乙酸盐雾试验(ASS)法》</w:t>
      </w:r>
    </w:p>
    <w:p w14:paraId="0D96AF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QB/T 3832《轻工产品金属镀层腐蚀试验结果的评价》</w:t>
      </w:r>
    </w:p>
    <w:p w14:paraId="2C2EF9C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QB/T 5619 《转椅底盘》</w:t>
      </w:r>
    </w:p>
    <w:p w14:paraId="13A16D4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QB/T 1952.2《软体家具 弹簧软床垫》</w:t>
      </w:r>
    </w:p>
    <w:p w14:paraId="72E875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32487《塑料家具通用技术条件》</w:t>
      </w:r>
    </w:p>
    <w:p w14:paraId="0E61ED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 28481《塑料家具中有害物质限量》</w:t>
      </w:r>
    </w:p>
    <w:p w14:paraId="1E32813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39600《人造板及其制品甲醛释放量分级》</w:t>
      </w:r>
    </w:p>
    <w:p w14:paraId="6005C63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24821《餐桌餐椅》</w:t>
      </w:r>
    </w:p>
    <w:p w14:paraId="39142FC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GB/T3324《木家具通用技术条件》</w:t>
      </w:r>
    </w:p>
    <w:p w14:paraId="0BBDAF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GB/T28203《家具用连接件技术要求及试验方法》</w:t>
      </w:r>
    </w:p>
    <w:p w14:paraId="4C3279F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10802《通用软质聚醚型聚氨酯泡沫塑料》</w:t>
      </w:r>
    </w:p>
    <w:p w14:paraId="0A299D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GB/T6343《泡沫塑料及橡胶 表观密度的测定》</w:t>
      </w:r>
    </w:p>
    <w:p w14:paraId="02E963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GB/T6344《软质泡沫聚合材料拉伸强度和断裂伸长率的测定》</w:t>
      </w:r>
    </w:p>
    <w:p w14:paraId="05D82F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6669《软质泡沫聚合材料压缩永久变形的测定》</w:t>
      </w:r>
    </w:p>
    <w:p w14:paraId="2A4432B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ASTM G21 《合成聚合材料防霉性的测定》</w:t>
      </w:r>
    </w:p>
    <w:p w14:paraId="11E671E1">
      <w:pPr>
        <w:spacing w:line="360" w:lineRule="auto"/>
        <w:ind w:firstLine="480" w:firstLineChars="200"/>
        <w:rPr>
          <w:rFonts w:ascii="宋体" w:hAnsi="宋体" w:eastAsia="宋体" w:cs="宋体"/>
          <w:bCs/>
          <w:color w:val="auto"/>
          <w:sz w:val="24"/>
          <w:szCs w:val="24"/>
          <w:highlight w:val="none"/>
        </w:rPr>
      </w:pPr>
      <w:r>
        <w:rPr>
          <w:rFonts w:hint="eastAsia" w:ascii="宋体" w:hAnsi="宋体" w:eastAsia="宋体" w:cs="宋体"/>
          <w:color w:val="auto"/>
          <w:sz w:val="24"/>
          <w:szCs w:val="24"/>
          <w:highlight w:val="none"/>
        </w:rPr>
        <w:t>ISO 22196 《塑料制品表面抗菌性能评价方法》</w:t>
      </w:r>
      <w:r>
        <w:rPr>
          <w:rFonts w:hint="eastAsia" w:ascii="宋体" w:hAnsi="宋体" w:eastAsia="宋体" w:cs="宋体"/>
          <w:b w:val="0"/>
          <w:bCs w:val="0"/>
          <w:color w:val="auto"/>
          <w:sz w:val="24"/>
          <w:szCs w:val="24"/>
          <w:highlight w:val="none"/>
        </w:rPr>
        <w:t>制作，并在设计方案中详细说明家具的材料构成及辅材、配件(如材质、质量标准、厚度、产地、品牌、型号等)。</w:t>
      </w:r>
    </w:p>
    <w:p w14:paraId="26F5CE65">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6．投标人需在投标文件中提供上述货物的实物图、效果图、生产分解图、货物选用材料的说明文件。图号所指货物详见采购文件所附图纸，投标人应自行到现场进行测量。</w:t>
      </w:r>
    </w:p>
    <w:p w14:paraId="5A6858F4">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7．投标人需将以上货物的参考指标与所报货物的技术指标、参数，在投标文件中分别列出，一一对应。</w:t>
      </w:r>
    </w:p>
    <w:p w14:paraId="3EF06947">
      <w:pPr>
        <w:pStyle w:val="16"/>
        <w:spacing w:line="360" w:lineRule="auto"/>
        <w:ind w:firstLine="482"/>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★8.投标人在递交投标文件时应提供以下样品：按附件二的要求提供样品。</w:t>
      </w:r>
      <w:r>
        <w:rPr>
          <w:rFonts w:hint="eastAsia" w:ascii="宋体" w:hAnsi="宋体" w:eastAsia="宋体" w:cs="宋体"/>
          <w:b/>
          <w:bCs/>
          <w:color w:val="auto"/>
          <w:kern w:val="2"/>
          <w:sz w:val="24"/>
          <w:szCs w:val="24"/>
          <w:highlight w:val="none"/>
          <w:lang w:val="en-US" w:eastAsia="zh-CN" w:bidi="ar-SA"/>
        </w:rPr>
        <w:t>提供的样品不符合采购内容要求的结构、外观造型或提供样品不齐全的（不接受 3D 打印小样），按无效投标处理。</w:t>
      </w:r>
    </w:p>
    <w:p w14:paraId="43E59450">
      <w:pPr>
        <w:pStyle w:val="16"/>
        <w:spacing w:line="360" w:lineRule="auto"/>
        <w:ind w:firstLine="470"/>
        <w:jc w:val="left"/>
        <w:rPr>
          <w:rFonts w:ascii="宋体" w:hAnsi="宋体" w:eastAsia="宋体" w:cs="宋体"/>
          <w:color w:val="auto"/>
          <w:sz w:val="24"/>
          <w:szCs w:val="24"/>
          <w:highlight w:val="none"/>
        </w:rPr>
      </w:pPr>
      <w:r>
        <w:rPr>
          <w:rFonts w:ascii="宋体" w:hAnsi="宋体" w:eastAsia="宋体" w:cs="宋体"/>
          <w:b/>
          <w:color w:val="auto"/>
          <w:sz w:val="24"/>
          <w:szCs w:val="24"/>
          <w:highlight w:val="none"/>
        </w:rPr>
        <w:t>★9.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w:t>
      </w:r>
      <w:r>
        <w:rPr>
          <w:rFonts w:hint="eastAsia" w:ascii="宋体" w:hAnsi="宋体" w:eastAsia="宋体" w:cs="宋体"/>
          <w:b/>
          <w:color w:val="auto"/>
          <w:sz w:val="24"/>
          <w:szCs w:val="24"/>
          <w:highlight w:val="none"/>
          <w:lang w:val="en-US" w:eastAsia="zh-CN"/>
        </w:rPr>
        <w:t>投标</w:t>
      </w:r>
      <w:r>
        <w:rPr>
          <w:rFonts w:ascii="宋体" w:hAnsi="宋体" w:eastAsia="宋体" w:cs="宋体"/>
          <w:b/>
          <w:color w:val="auto"/>
          <w:sz w:val="24"/>
          <w:szCs w:val="24"/>
          <w:highlight w:val="none"/>
        </w:rPr>
        <w:t>截止时间前，送至</w:t>
      </w:r>
      <w:r>
        <w:rPr>
          <w:rFonts w:ascii="宋体" w:hAnsi="宋体" w:eastAsia="宋体" w:cs="宋体"/>
          <w:b/>
          <w:color w:val="auto"/>
          <w:sz w:val="24"/>
          <w:szCs w:val="24"/>
          <w:highlight w:val="none"/>
          <w:u w:val="single"/>
        </w:rPr>
        <w:t>厦门市湖里区云顶北路842号厦门市政务服务中心负一楼样品间</w:t>
      </w:r>
      <w:r>
        <w:rPr>
          <w:rFonts w:ascii="宋体" w:hAnsi="宋体" w:eastAsia="宋体" w:cs="宋体"/>
          <w:b/>
          <w:color w:val="auto"/>
          <w:sz w:val="24"/>
          <w:szCs w:val="24"/>
          <w:highlight w:val="none"/>
        </w:rPr>
        <w:t>。</w:t>
      </w:r>
    </w:p>
    <w:p w14:paraId="432EBE00">
      <w:pPr>
        <w:pStyle w:val="16"/>
        <w:spacing w:line="360" w:lineRule="auto"/>
        <w:ind w:firstLine="470"/>
        <w:jc w:val="left"/>
        <w:rPr>
          <w:rFonts w:ascii="宋体" w:hAnsi="宋体" w:eastAsia="宋体" w:cs="宋体"/>
          <w:b/>
          <w:color w:val="auto"/>
          <w:sz w:val="24"/>
          <w:szCs w:val="24"/>
          <w:highlight w:val="none"/>
        </w:rPr>
      </w:pPr>
      <w:r>
        <w:rPr>
          <w:rFonts w:ascii="宋体" w:hAnsi="宋体" w:eastAsia="宋体" w:cs="宋体"/>
          <w:b/>
          <w:color w:val="auto"/>
          <w:sz w:val="24"/>
          <w:szCs w:val="24"/>
          <w:highlight w:val="none"/>
        </w:rPr>
        <w:t>注：</w:t>
      </w:r>
    </w:p>
    <w:p w14:paraId="59B263DB">
      <w:pPr>
        <w:pStyle w:val="16"/>
        <w:spacing w:line="360" w:lineRule="auto"/>
        <w:ind w:firstLine="470"/>
        <w:jc w:val="left"/>
        <w:rPr>
          <w:rFonts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1.</w:t>
      </w:r>
      <w:r>
        <w:rPr>
          <w:rFonts w:ascii="宋体" w:hAnsi="宋体" w:eastAsia="宋体" w:cs="宋体"/>
          <w:b/>
          <w:color w:val="auto"/>
          <w:sz w:val="24"/>
          <w:szCs w:val="24"/>
          <w:highlight w:val="none"/>
        </w:rPr>
        <w:t>投标人提供的成品样需在投标截止时间前，在样品室摆放到位。</w:t>
      </w:r>
    </w:p>
    <w:p w14:paraId="6700DB40">
      <w:pPr>
        <w:pStyle w:val="16"/>
        <w:spacing w:line="360" w:lineRule="auto"/>
        <w:ind w:firstLine="481"/>
        <w:jc w:val="both"/>
        <w:rPr>
          <w:rFonts w:hint="default"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2.由于市行政服务中心地下停车库不让限高&gt;2米车辆进入，因此送样品的车辆限高≦2米。不遵守此规定，后果自负。</w:t>
      </w:r>
    </w:p>
    <w:p w14:paraId="08489A65">
      <w:pPr>
        <w:pStyle w:val="16"/>
        <w:spacing w:line="360" w:lineRule="auto"/>
        <w:ind w:firstLine="482"/>
        <w:jc w:val="both"/>
        <w:rPr>
          <w:rFonts w:ascii="宋体" w:hAnsi="宋体" w:eastAsia="宋体" w:cs="宋体"/>
          <w:color w:val="auto"/>
          <w:sz w:val="24"/>
          <w:szCs w:val="24"/>
          <w:highlight w:val="none"/>
        </w:rPr>
      </w:pPr>
    </w:p>
    <w:p w14:paraId="28BC4B26">
      <w:pPr>
        <w:pStyle w:val="16"/>
        <w:spacing w:line="360" w:lineRule="auto"/>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shd w:val="clear" w:fill="FFFFFF"/>
        </w:rPr>
        <w:t>三、商务响应要求</w:t>
      </w:r>
    </w:p>
    <w:p w14:paraId="77F45C3A">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1.投标人应在投标文件中提供最近三年来在中国，类似项目的合同业绩证明材料（提供项目中标公告或中标通知书及合同复印件等，加盖单位公章，原件备查），需提供项目名称、合同金额、中标日期、联系人、用户反馈意见。</w:t>
      </w:r>
    </w:p>
    <w:p w14:paraId="5DC21BDF">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2.投标人应在投标文件中书面承诺自身已经具备自行生产所报价的全系列产品的能力。</w:t>
      </w:r>
    </w:p>
    <w:p w14:paraId="1281F6CE">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3.投标人应在投标文件中提供近三年以来地级市以上质量检测单位出具的成品抽样检测报告。</w:t>
      </w:r>
    </w:p>
    <w:p w14:paraId="53DC0DEF">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4.投标人应在投标文件中提供生产合同管理计划保证书一份。</w:t>
      </w:r>
    </w:p>
    <w:p w14:paraId="0EC1C192">
      <w:pPr>
        <w:pStyle w:val="16"/>
        <w:spacing w:line="360" w:lineRule="auto"/>
        <w:ind w:left="-180" w:right="360" w:firstLine="361"/>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四、货物质量标准、验收标准</w:t>
      </w:r>
    </w:p>
    <w:p w14:paraId="0938FD18">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1．投标人提供货物的制造标准、安装标准、验收标准及技术规范等有关资料应符合国家规定的有关标准、规范要求。</w:t>
      </w:r>
    </w:p>
    <w:p w14:paraId="7EC98112">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2．投标人应保证提供原产、正宗品牌货物，不得用伪劣货物替代；如出现上述质量问题</w:t>
      </w:r>
      <w:r>
        <w:rPr>
          <w:rFonts w:hint="eastAsia" w:ascii="宋体" w:hAnsi="宋体" w:eastAsia="宋体" w:cs="宋体"/>
          <w:b w:val="0"/>
          <w:bCs/>
          <w:color w:val="auto"/>
          <w:sz w:val="24"/>
          <w:szCs w:val="24"/>
          <w:highlight w:val="none"/>
          <w:lang w:eastAsia="zh-CN"/>
        </w:rPr>
        <w:t>采购单位</w:t>
      </w:r>
      <w:r>
        <w:rPr>
          <w:rFonts w:ascii="宋体" w:hAnsi="宋体" w:eastAsia="宋体" w:cs="宋体"/>
          <w:b w:val="0"/>
          <w:bCs/>
          <w:color w:val="auto"/>
          <w:sz w:val="24"/>
          <w:szCs w:val="24"/>
          <w:highlight w:val="none"/>
        </w:rPr>
        <w:t>有权退货并解除合同。</w:t>
      </w:r>
    </w:p>
    <w:p w14:paraId="3067A7B0">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3．在生产过程或验收过程中发现中标供应商对</w:t>
      </w:r>
      <w:r>
        <w:rPr>
          <w:rFonts w:hint="eastAsia" w:ascii="宋体" w:hAnsi="宋体" w:eastAsia="宋体" w:cs="宋体"/>
          <w:b w:val="0"/>
          <w:bCs/>
          <w:color w:val="auto"/>
          <w:sz w:val="24"/>
          <w:szCs w:val="24"/>
          <w:highlight w:val="none"/>
          <w:lang w:val="en-US" w:eastAsia="zh-CN"/>
        </w:rPr>
        <w:t>中标</w:t>
      </w:r>
      <w:r>
        <w:rPr>
          <w:rFonts w:ascii="宋体" w:hAnsi="宋体" w:eastAsia="宋体" w:cs="宋体"/>
          <w:b w:val="0"/>
          <w:bCs/>
          <w:color w:val="auto"/>
          <w:sz w:val="24"/>
          <w:szCs w:val="24"/>
          <w:highlight w:val="none"/>
        </w:rPr>
        <w:t>货物进行分包、转包，</w:t>
      </w:r>
      <w:r>
        <w:rPr>
          <w:rFonts w:hint="eastAsia" w:ascii="宋体" w:hAnsi="宋体" w:eastAsia="宋体" w:cs="宋体"/>
          <w:b w:val="0"/>
          <w:bCs/>
          <w:color w:val="auto"/>
          <w:sz w:val="24"/>
          <w:szCs w:val="24"/>
          <w:highlight w:val="none"/>
          <w:lang w:eastAsia="zh-CN"/>
        </w:rPr>
        <w:t>采购单位</w:t>
      </w:r>
      <w:r>
        <w:rPr>
          <w:rFonts w:ascii="宋体" w:hAnsi="宋体" w:eastAsia="宋体" w:cs="宋体"/>
          <w:b w:val="0"/>
          <w:bCs/>
          <w:color w:val="auto"/>
          <w:sz w:val="24"/>
          <w:szCs w:val="24"/>
          <w:highlight w:val="none"/>
        </w:rPr>
        <w:t>有权单方解除合同并有权拒付全部货款。</w:t>
      </w:r>
    </w:p>
    <w:p w14:paraId="0D6869DE">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4．货物安装所需的配件或附加件，在合同签订前由中标供应商提交具体清单给</w:t>
      </w:r>
      <w:r>
        <w:rPr>
          <w:rFonts w:hint="eastAsia" w:ascii="宋体" w:hAnsi="宋体" w:eastAsia="宋体" w:cs="宋体"/>
          <w:b w:val="0"/>
          <w:bCs/>
          <w:color w:val="auto"/>
          <w:sz w:val="24"/>
          <w:szCs w:val="24"/>
          <w:highlight w:val="none"/>
          <w:lang w:eastAsia="zh-CN"/>
        </w:rPr>
        <w:t>使用单位</w:t>
      </w:r>
      <w:r>
        <w:rPr>
          <w:rFonts w:ascii="宋体" w:hAnsi="宋体" w:eastAsia="宋体" w:cs="宋体"/>
          <w:b w:val="0"/>
          <w:bCs/>
          <w:color w:val="auto"/>
          <w:sz w:val="24"/>
          <w:szCs w:val="24"/>
          <w:highlight w:val="none"/>
        </w:rPr>
        <w:t>确认。</w:t>
      </w:r>
    </w:p>
    <w:p w14:paraId="42DDAD15">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5.中标后生产前，向</w:t>
      </w:r>
      <w:r>
        <w:rPr>
          <w:rFonts w:hint="eastAsia" w:ascii="宋体" w:hAnsi="宋体" w:eastAsia="宋体" w:cs="宋体"/>
          <w:b w:val="0"/>
          <w:bCs/>
          <w:color w:val="auto"/>
          <w:sz w:val="24"/>
          <w:szCs w:val="24"/>
          <w:highlight w:val="none"/>
          <w:lang w:eastAsia="zh-CN"/>
        </w:rPr>
        <w:t>使用单位</w:t>
      </w:r>
      <w:r>
        <w:rPr>
          <w:rFonts w:ascii="宋体" w:hAnsi="宋体" w:eastAsia="宋体" w:cs="宋体"/>
          <w:b w:val="0"/>
          <w:bCs/>
          <w:color w:val="auto"/>
          <w:sz w:val="24"/>
          <w:szCs w:val="24"/>
          <w:highlight w:val="none"/>
        </w:rPr>
        <w:t>确定所供货物的相关事项，经</w:t>
      </w:r>
      <w:r>
        <w:rPr>
          <w:rFonts w:hint="eastAsia" w:ascii="宋体" w:hAnsi="宋体" w:eastAsia="宋体" w:cs="宋体"/>
          <w:b w:val="0"/>
          <w:bCs/>
          <w:color w:val="auto"/>
          <w:sz w:val="24"/>
          <w:szCs w:val="24"/>
          <w:highlight w:val="none"/>
          <w:lang w:eastAsia="zh-CN"/>
        </w:rPr>
        <w:t>使用单位</w:t>
      </w:r>
      <w:r>
        <w:rPr>
          <w:rFonts w:ascii="宋体" w:hAnsi="宋体" w:eastAsia="宋体" w:cs="宋体"/>
          <w:b w:val="0"/>
          <w:bCs/>
          <w:color w:val="auto"/>
          <w:sz w:val="24"/>
          <w:szCs w:val="24"/>
          <w:highlight w:val="none"/>
        </w:rPr>
        <w:t>书面确认是否增减后方可投入生产。否则，由此产生的一切后果由投标人负责。</w:t>
      </w:r>
    </w:p>
    <w:p w14:paraId="4514C251">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6.货物初验：货物运抵</w:t>
      </w:r>
      <w:r>
        <w:rPr>
          <w:rFonts w:hint="eastAsia" w:ascii="宋体" w:hAnsi="宋体" w:eastAsia="宋体" w:cs="宋体"/>
          <w:b w:val="0"/>
          <w:bCs/>
          <w:color w:val="auto"/>
          <w:sz w:val="24"/>
          <w:szCs w:val="24"/>
          <w:highlight w:val="none"/>
          <w:lang w:eastAsia="zh-CN"/>
        </w:rPr>
        <w:t>使用单位</w:t>
      </w:r>
      <w:r>
        <w:rPr>
          <w:rFonts w:ascii="宋体" w:hAnsi="宋体" w:eastAsia="宋体" w:cs="宋体"/>
          <w:b w:val="0"/>
          <w:bCs/>
          <w:color w:val="auto"/>
          <w:sz w:val="24"/>
          <w:szCs w:val="24"/>
          <w:highlight w:val="none"/>
        </w:rPr>
        <w:t>指定地点后由</w:t>
      </w:r>
      <w:r>
        <w:rPr>
          <w:rFonts w:hint="eastAsia" w:ascii="宋体" w:hAnsi="宋体" w:eastAsia="宋体" w:cs="宋体"/>
          <w:b w:val="0"/>
          <w:bCs/>
          <w:color w:val="auto"/>
          <w:sz w:val="24"/>
          <w:szCs w:val="24"/>
          <w:highlight w:val="none"/>
          <w:lang w:eastAsia="zh-CN"/>
        </w:rPr>
        <w:t>使用单位</w:t>
      </w:r>
      <w:r>
        <w:rPr>
          <w:rFonts w:ascii="宋体" w:hAnsi="宋体" w:eastAsia="宋体" w:cs="宋体"/>
          <w:b w:val="0"/>
          <w:bCs/>
          <w:color w:val="auto"/>
          <w:sz w:val="24"/>
          <w:szCs w:val="24"/>
          <w:highlight w:val="none"/>
        </w:rPr>
        <w:t>对照采购清单对外观、包装及数量进行验收。到货初验时，中标供应商代表必须在场。同时，中标供应商必须提供货物的相关手续（品牌证书、装箱清单含货物的主附件、原产地证明书、品质保证书、出厂检验报告、合格证书、使用及维护说明书）。每件产品必须说明材质、规格、涂料、粘合剂等及是否含有毒、有害物质等情况。</w:t>
      </w:r>
    </w:p>
    <w:p w14:paraId="1EEE7AC8">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7.最终验收：中标供应商负责现场安装、调试，待性能指标经验收合格后（附验收报告），中标供应商应与</w:t>
      </w:r>
      <w:r>
        <w:rPr>
          <w:rFonts w:hint="eastAsia" w:ascii="宋体" w:hAnsi="宋体" w:eastAsia="宋体" w:cs="宋体"/>
          <w:b w:val="0"/>
          <w:bCs/>
          <w:color w:val="auto"/>
          <w:sz w:val="24"/>
          <w:szCs w:val="24"/>
          <w:highlight w:val="none"/>
          <w:lang w:eastAsia="zh-CN"/>
        </w:rPr>
        <w:t>使用单位</w:t>
      </w:r>
      <w:r>
        <w:rPr>
          <w:rFonts w:ascii="宋体" w:hAnsi="宋体" w:eastAsia="宋体" w:cs="宋体"/>
          <w:b w:val="0"/>
          <w:bCs/>
          <w:color w:val="auto"/>
          <w:sz w:val="24"/>
          <w:szCs w:val="24"/>
          <w:highlight w:val="none"/>
        </w:rPr>
        <w:t>共同签署《厦门市政府采购验收报告》。</w:t>
      </w:r>
    </w:p>
    <w:p w14:paraId="704C1314">
      <w:pPr>
        <w:pStyle w:val="16"/>
        <w:spacing w:line="360" w:lineRule="auto"/>
        <w:ind w:firstLine="482"/>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★8.投标人必须在投标文件中</w:t>
      </w:r>
      <w:r>
        <w:rPr>
          <w:rFonts w:hint="eastAsia" w:ascii="宋体" w:hAnsi="宋体" w:eastAsia="宋体" w:cs="宋体"/>
          <w:b/>
          <w:color w:val="auto"/>
          <w:sz w:val="24"/>
          <w:szCs w:val="24"/>
          <w:highlight w:val="none"/>
          <w:lang w:eastAsia="zh-CN"/>
        </w:rPr>
        <w:t>书面承诺函（</w:t>
      </w:r>
      <w:r>
        <w:rPr>
          <w:rFonts w:hint="eastAsia" w:ascii="宋体" w:hAnsi="宋体" w:eastAsia="宋体" w:cs="宋体"/>
          <w:b/>
          <w:color w:val="auto"/>
          <w:sz w:val="24"/>
          <w:szCs w:val="24"/>
          <w:highlight w:val="none"/>
          <w:lang w:val="en-US" w:eastAsia="zh-CN"/>
        </w:rPr>
        <w:t>格式自拟</w:t>
      </w:r>
      <w:r>
        <w:rPr>
          <w:rFonts w:hint="eastAsia" w:ascii="宋体" w:hAnsi="宋体" w:eastAsia="宋体" w:cs="宋体"/>
          <w:b/>
          <w:color w:val="auto"/>
          <w:sz w:val="24"/>
          <w:szCs w:val="24"/>
          <w:highlight w:val="none"/>
          <w:lang w:eastAsia="zh-CN"/>
        </w:rPr>
        <w:t>）</w:t>
      </w:r>
      <w:r>
        <w:rPr>
          <w:rFonts w:ascii="宋体" w:hAnsi="宋体" w:eastAsia="宋体" w:cs="宋体"/>
          <w:b/>
          <w:color w:val="auto"/>
          <w:sz w:val="24"/>
          <w:szCs w:val="24"/>
          <w:highlight w:val="none"/>
        </w:rPr>
        <w:t>：一旦中标，在生产本次采购家具的过程中，邀请</w:t>
      </w: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代表到工厂对产品从进料、开胚、上漆、成型等一系列生产程序进行检查、监督；</w:t>
      </w: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根据合同进度可以采用书面函件形式要求投标人对生产情况合理改进，投标人应予书面答复，并制定完整的整改措施。</w:t>
      </w:r>
    </w:p>
    <w:p w14:paraId="45BD3632">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9.投标人不得虚报各项技术指标，</w:t>
      </w:r>
      <w:r>
        <w:rPr>
          <w:rFonts w:hint="eastAsia" w:ascii="宋体" w:hAnsi="宋体" w:eastAsia="宋体" w:cs="宋体"/>
          <w:b w:val="0"/>
          <w:bCs/>
          <w:color w:val="auto"/>
          <w:sz w:val="24"/>
          <w:szCs w:val="24"/>
          <w:highlight w:val="none"/>
          <w:lang w:val="en-US" w:eastAsia="zh-CN"/>
        </w:rPr>
        <w:t>中标</w:t>
      </w:r>
      <w:r>
        <w:rPr>
          <w:rFonts w:ascii="宋体" w:hAnsi="宋体" w:eastAsia="宋体" w:cs="宋体"/>
          <w:b w:val="0"/>
          <w:bCs/>
          <w:color w:val="auto"/>
          <w:sz w:val="24"/>
          <w:szCs w:val="24"/>
          <w:highlight w:val="none"/>
        </w:rPr>
        <w:t>产品若不能符合技术要求、采购文件及合同约定的，</w:t>
      </w:r>
      <w:r>
        <w:rPr>
          <w:rFonts w:hint="eastAsia" w:ascii="宋体" w:hAnsi="宋体" w:eastAsia="宋体" w:cs="宋体"/>
          <w:b w:val="0"/>
          <w:bCs/>
          <w:color w:val="auto"/>
          <w:sz w:val="24"/>
          <w:szCs w:val="24"/>
          <w:highlight w:val="none"/>
          <w:lang w:eastAsia="zh-CN"/>
        </w:rPr>
        <w:t>采购单位</w:t>
      </w:r>
      <w:r>
        <w:rPr>
          <w:rFonts w:ascii="宋体" w:hAnsi="宋体" w:eastAsia="宋体" w:cs="宋体"/>
          <w:b w:val="0"/>
          <w:bCs/>
          <w:color w:val="auto"/>
          <w:sz w:val="24"/>
          <w:szCs w:val="24"/>
          <w:highlight w:val="none"/>
        </w:rPr>
        <w:t>有权退货并单方解除合同，中标供应商除退还所有的货款外，还应向支付合同总价50%的违约金。</w:t>
      </w:r>
    </w:p>
    <w:p w14:paraId="7AE73FA4">
      <w:pPr>
        <w:pStyle w:val="16"/>
        <w:spacing w:line="360" w:lineRule="auto"/>
        <w:ind w:firstLine="482"/>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★10.投标人必须在投标文件中</w:t>
      </w:r>
      <w:r>
        <w:rPr>
          <w:rFonts w:hint="eastAsia" w:ascii="宋体" w:hAnsi="宋体" w:eastAsia="宋体" w:cs="宋体"/>
          <w:b/>
          <w:color w:val="auto"/>
          <w:sz w:val="24"/>
          <w:szCs w:val="24"/>
          <w:highlight w:val="none"/>
          <w:lang w:eastAsia="zh-CN"/>
        </w:rPr>
        <w:t>书面承诺函（</w:t>
      </w:r>
      <w:r>
        <w:rPr>
          <w:rFonts w:hint="eastAsia" w:ascii="宋体" w:hAnsi="宋体" w:eastAsia="宋体" w:cs="宋体"/>
          <w:b/>
          <w:color w:val="auto"/>
          <w:sz w:val="24"/>
          <w:szCs w:val="24"/>
          <w:highlight w:val="none"/>
          <w:lang w:val="en-US" w:eastAsia="zh-CN"/>
        </w:rPr>
        <w:t>格式自拟</w:t>
      </w:r>
      <w:r>
        <w:rPr>
          <w:rFonts w:hint="eastAsia" w:ascii="宋体" w:hAnsi="宋体" w:eastAsia="宋体" w:cs="宋体"/>
          <w:b/>
          <w:color w:val="auto"/>
          <w:sz w:val="24"/>
          <w:szCs w:val="24"/>
          <w:highlight w:val="none"/>
          <w:lang w:eastAsia="zh-CN"/>
        </w:rPr>
        <w:t>）</w:t>
      </w:r>
      <w:r>
        <w:rPr>
          <w:rFonts w:ascii="宋体" w:hAnsi="宋体" w:eastAsia="宋体" w:cs="宋体"/>
          <w:b/>
          <w:color w:val="auto"/>
          <w:sz w:val="24"/>
          <w:szCs w:val="24"/>
          <w:highlight w:val="none"/>
        </w:rPr>
        <w:t>：一旦</w:t>
      </w:r>
      <w:r>
        <w:rPr>
          <w:rFonts w:hint="eastAsia" w:ascii="宋体" w:hAnsi="宋体" w:eastAsia="宋体" w:cs="宋体"/>
          <w:b/>
          <w:color w:val="auto"/>
          <w:sz w:val="24"/>
          <w:szCs w:val="24"/>
          <w:highlight w:val="none"/>
          <w:lang w:val="en-US" w:eastAsia="zh-CN"/>
        </w:rPr>
        <w:t>中标</w:t>
      </w:r>
      <w:r>
        <w:rPr>
          <w:rFonts w:ascii="宋体" w:hAnsi="宋体" w:eastAsia="宋体" w:cs="宋体"/>
          <w:b/>
          <w:color w:val="auto"/>
          <w:sz w:val="24"/>
          <w:szCs w:val="24"/>
          <w:highlight w:val="none"/>
        </w:rPr>
        <w:t>，在保证按招标文件中要求提供的产品数量进行供货外，还应保证能够免费提供足够的样品供</w:t>
      </w: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邀请相关部门对其在封闭式的环境中进行开放性的检测；如经检测家具环保等指标达不到国家以及招标文件中的要求，投标人应按成交价的2倍金额赔偿给</w:t>
      </w:r>
      <w:r>
        <w:rPr>
          <w:rFonts w:hint="eastAsia" w:ascii="宋体" w:hAnsi="宋体" w:eastAsia="宋体" w:cs="宋体"/>
          <w:b/>
          <w:color w:val="auto"/>
          <w:sz w:val="24"/>
          <w:szCs w:val="24"/>
          <w:highlight w:val="none"/>
          <w:lang w:eastAsia="zh-CN"/>
        </w:rPr>
        <w:t>使用单位，</w:t>
      </w:r>
      <w:r>
        <w:rPr>
          <w:rFonts w:hint="eastAsia" w:ascii="宋体" w:hAnsi="宋体" w:eastAsia="宋体" w:cs="宋体"/>
          <w:b/>
          <w:color w:val="auto"/>
          <w:sz w:val="24"/>
          <w:szCs w:val="24"/>
          <w:highlight w:val="none"/>
          <w:lang w:val="en-US" w:eastAsia="zh-CN"/>
        </w:rPr>
        <w:t>并要求更换符合要求的产品</w:t>
      </w:r>
      <w:r>
        <w:rPr>
          <w:rFonts w:ascii="宋体" w:hAnsi="宋体" w:eastAsia="宋体" w:cs="宋体"/>
          <w:b/>
          <w:color w:val="auto"/>
          <w:sz w:val="24"/>
          <w:szCs w:val="24"/>
          <w:highlight w:val="none"/>
        </w:rPr>
        <w:t>。</w:t>
      </w:r>
    </w:p>
    <w:p w14:paraId="2CF17994">
      <w:pPr>
        <w:pStyle w:val="16"/>
        <w:spacing w:line="360" w:lineRule="auto"/>
        <w:ind w:left="-180" w:right="360" w:firstLine="361"/>
        <w:jc w:val="left"/>
        <w:rPr>
          <w:rFonts w:ascii="宋体" w:hAnsi="宋体" w:eastAsia="宋体" w:cs="宋体"/>
          <w:color w:val="auto"/>
          <w:sz w:val="24"/>
          <w:szCs w:val="24"/>
          <w:highlight w:val="none"/>
        </w:rPr>
      </w:pPr>
      <w:r>
        <w:rPr>
          <w:rFonts w:ascii="宋体" w:hAnsi="宋体" w:eastAsia="宋体" w:cs="宋体"/>
          <w:b/>
          <w:color w:val="auto"/>
          <w:sz w:val="24"/>
          <w:szCs w:val="24"/>
          <w:highlight w:val="none"/>
        </w:rPr>
        <w:t>五、货物技术服务要求</w:t>
      </w:r>
    </w:p>
    <w:p w14:paraId="4A6CE08E">
      <w:pPr>
        <w:pStyle w:val="16"/>
        <w:spacing w:line="360" w:lineRule="auto"/>
        <w:ind w:firstLine="482"/>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★1.投标人应在投标文件中提供详细的质量保证期及售后服务方案承诺，并加盖单位公章。承诺至少应包含以下内容①所有货物质量保证期至少为</w:t>
      </w:r>
      <w:r>
        <w:rPr>
          <w:rFonts w:hint="eastAsia" w:ascii="宋体" w:hAnsi="宋体" w:eastAsia="宋体" w:cs="宋体"/>
          <w:b/>
          <w:color w:val="auto"/>
          <w:sz w:val="24"/>
          <w:szCs w:val="24"/>
          <w:highlight w:val="none"/>
          <w:lang w:val="en-US" w:eastAsia="zh-CN"/>
        </w:rPr>
        <w:t>5</w:t>
      </w:r>
      <w:r>
        <w:rPr>
          <w:rFonts w:ascii="宋体" w:hAnsi="宋体" w:eastAsia="宋体" w:cs="宋体"/>
          <w:b/>
          <w:color w:val="auto"/>
          <w:sz w:val="24"/>
          <w:szCs w:val="24"/>
          <w:highlight w:val="none"/>
        </w:rPr>
        <w:t>年，自最终验收合格之日起算；②所有货物如无特别指明售后服务要求, 投标人到现场的售后服务及技术支持响应时间不能超过2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w:t>
      </w:r>
      <w:r>
        <w:rPr>
          <w:rFonts w:hint="eastAsia" w:ascii="宋体" w:hAnsi="宋体" w:eastAsia="宋体" w:cs="宋体"/>
          <w:b/>
          <w:color w:val="auto"/>
          <w:sz w:val="24"/>
          <w:szCs w:val="24"/>
          <w:highlight w:val="none"/>
          <w:lang w:val="en-US" w:eastAsia="zh-CN"/>
        </w:rPr>
        <w:t>一</w:t>
      </w:r>
      <w:r>
        <w:rPr>
          <w:rFonts w:ascii="宋体" w:hAnsi="宋体" w:eastAsia="宋体" w:cs="宋体"/>
          <w:b/>
          <w:color w:val="auto"/>
          <w:sz w:val="24"/>
          <w:szCs w:val="24"/>
          <w:highlight w:val="none"/>
        </w:rPr>
        <w:t>名专人与</w:t>
      </w: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建立服务联系。</w:t>
      </w:r>
    </w:p>
    <w:p w14:paraId="78E06476">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2.投标人应单独列出质保期后年维护费用（全包，包括零配件费用等包干计取，按总报价的百分之几报价）,待质保期过后按实际发生的维护情况由投标人提供相应的票据经</w:t>
      </w:r>
      <w:r>
        <w:rPr>
          <w:rFonts w:hint="eastAsia" w:ascii="宋体" w:hAnsi="宋体" w:eastAsia="宋体" w:cs="宋体"/>
          <w:b w:val="0"/>
          <w:bCs/>
          <w:color w:val="auto"/>
          <w:sz w:val="24"/>
          <w:szCs w:val="24"/>
          <w:highlight w:val="none"/>
          <w:lang w:eastAsia="zh-CN"/>
        </w:rPr>
        <w:t>采购单位</w:t>
      </w:r>
      <w:r>
        <w:rPr>
          <w:rFonts w:ascii="宋体" w:hAnsi="宋体" w:eastAsia="宋体" w:cs="宋体"/>
          <w:b w:val="0"/>
          <w:bCs/>
          <w:color w:val="auto"/>
          <w:sz w:val="24"/>
          <w:szCs w:val="24"/>
          <w:highlight w:val="none"/>
        </w:rPr>
        <w:t>确认后结算（结算金额不超过此项报价）。投标人应提供免费技术支持力度等情况。</w:t>
      </w:r>
    </w:p>
    <w:p w14:paraId="732CB3B1">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3.投标人能长期提供良好的技术支持及备品备件的优惠供应。</w:t>
      </w:r>
    </w:p>
    <w:p w14:paraId="7061D51C">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4.投标人如有其它更好的售后服务应在方案中书面声明。</w:t>
      </w:r>
    </w:p>
    <w:p w14:paraId="2262730A">
      <w:pPr>
        <w:pStyle w:val="16"/>
        <w:spacing w:line="360" w:lineRule="auto"/>
        <w:ind w:right="360" w:firstLine="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六、货物投标报价</w:t>
      </w:r>
    </w:p>
    <w:p w14:paraId="32343F4A">
      <w:pPr>
        <w:pStyle w:val="16"/>
        <w:spacing w:line="360" w:lineRule="auto"/>
        <w:ind w:firstLine="482"/>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★1.投标人须以人民币报价且报价总价应含货物费、运至</w:t>
      </w: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指定地点的运输费、保险费和伴随服务费（包括产品检验检测）、安装调试（包括安装所需的辅材、配件等）费用、税收及售后服务等一切与完成本项目相关的费用，报价方式为指定目的地价。一旦中标，合同价款将不予调整。</w:t>
      </w:r>
      <w:r>
        <w:rPr>
          <w:rFonts w:hint="eastAsia" w:ascii="宋体" w:hAnsi="宋体" w:eastAsia="宋体" w:cs="宋体"/>
          <w:b/>
          <w:color w:val="auto"/>
          <w:sz w:val="24"/>
          <w:szCs w:val="24"/>
          <w:highlight w:val="none"/>
          <w:lang w:eastAsia="zh-CN"/>
        </w:rPr>
        <w:t>采购单位</w:t>
      </w:r>
      <w:r>
        <w:rPr>
          <w:rFonts w:ascii="宋体" w:hAnsi="宋体" w:eastAsia="宋体" w:cs="宋体"/>
          <w:b/>
          <w:color w:val="auto"/>
          <w:sz w:val="24"/>
          <w:szCs w:val="24"/>
          <w:highlight w:val="none"/>
        </w:rPr>
        <w:t>不接受有选择的报价。</w:t>
      </w:r>
    </w:p>
    <w:p w14:paraId="56026326">
      <w:pPr>
        <w:pStyle w:val="16"/>
        <w:spacing w:line="360" w:lineRule="auto"/>
        <w:ind w:right="360" w:firstLine="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七、付款方式</w:t>
      </w:r>
    </w:p>
    <w:p w14:paraId="42725DDD">
      <w:pPr>
        <w:pStyle w:val="16"/>
        <w:spacing w:line="360" w:lineRule="auto"/>
        <w:ind w:firstLine="378"/>
        <w:jc w:val="both"/>
        <w:rPr>
          <w:rFonts w:hint="eastAsia"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1、</w:t>
      </w:r>
      <w:r>
        <w:rPr>
          <w:rFonts w:hint="eastAsia" w:ascii="宋体" w:hAnsi="宋体" w:eastAsia="宋体" w:cs="宋体"/>
          <w:b w:val="0"/>
          <w:bCs/>
          <w:color w:val="auto"/>
          <w:sz w:val="24"/>
          <w:szCs w:val="24"/>
          <w:highlight w:val="none"/>
        </w:rPr>
        <w:t>依据财政拨款进度，支付本项目款项。合同签订后</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收到使用单位款项</w:t>
      </w:r>
      <w:r>
        <w:rPr>
          <w:rFonts w:hint="default" w:ascii="宋体" w:hAnsi="宋体" w:eastAsia="宋体" w:cs="宋体"/>
          <w:b w:val="0"/>
          <w:bCs/>
          <w:color w:val="auto"/>
          <w:sz w:val="24"/>
          <w:szCs w:val="24"/>
          <w:highlight w:val="none"/>
          <w:lang w:eastAsia="zh-CN"/>
        </w:rPr>
        <w:t>且全部货物送达使用单位指定地点</w:t>
      </w:r>
      <w:r>
        <w:rPr>
          <w:rFonts w:hint="eastAsia" w:ascii="宋体" w:hAnsi="宋体" w:eastAsia="宋体" w:cs="宋体"/>
          <w:b w:val="0"/>
          <w:bCs/>
          <w:color w:val="auto"/>
          <w:sz w:val="24"/>
          <w:szCs w:val="24"/>
          <w:highlight w:val="none"/>
          <w:lang w:val="en-US" w:eastAsia="zh-CN"/>
        </w:rPr>
        <w:t>，达到付款条件7</w:t>
      </w:r>
      <w:r>
        <w:rPr>
          <w:rFonts w:hint="eastAsia" w:ascii="宋体" w:hAnsi="宋体" w:eastAsia="宋体" w:cs="宋体"/>
          <w:b w:val="0"/>
          <w:bCs/>
          <w:color w:val="auto"/>
          <w:sz w:val="24"/>
          <w:szCs w:val="24"/>
          <w:highlight w:val="none"/>
        </w:rPr>
        <w:t>个工作日内，买方向卖方支付合同总价50%的预付款。卖方供货安装、调试完毕，</w:t>
      </w:r>
      <w:r>
        <w:rPr>
          <w:rFonts w:hint="eastAsia" w:ascii="宋体" w:hAnsi="宋体" w:eastAsia="宋体" w:cs="宋体"/>
          <w:b w:val="0"/>
          <w:bCs/>
          <w:color w:val="auto"/>
          <w:sz w:val="24"/>
          <w:szCs w:val="24"/>
          <w:highlight w:val="none"/>
          <w:lang w:val="en-US" w:eastAsia="zh-CN"/>
        </w:rPr>
        <w:t>使用单位</w:t>
      </w:r>
      <w:r>
        <w:rPr>
          <w:rFonts w:hint="eastAsia" w:ascii="宋体" w:hAnsi="宋体" w:eastAsia="宋体" w:cs="宋体"/>
          <w:b w:val="0"/>
          <w:bCs/>
          <w:color w:val="auto"/>
          <w:sz w:val="24"/>
          <w:szCs w:val="24"/>
          <w:highlight w:val="none"/>
        </w:rPr>
        <w:t>验收合格后，卖方开具合同总价100%的正规发票（即中标金额的</w:t>
      </w:r>
      <w:r>
        <w:rPr>
          <w:rFonts w:hint="eastAsia" w:ascii="宋体" w:hAnsi="宋体" w:eastAsia="宋体" w:cs="宋体"/>
          <w:b w:val="0"/>
          <w:bCs/>
          <w:color w:val="auto"/>
          <w:sz w:val="24"/>
          <w:szCs w:val="24"/>
          <w:highlight w:val="none"/>
          <w:lang w:val="en-US" w:eastAsia="zh-CN"/>
        </w:rPr>
        <w:t>100</w:t>
      </w:r>
      <w:r>
        <w:rPr>
          <w:rFonts w:hint="eastAsia" w:ascii="宋体" w:hAnsi="宋体" w:eastAsia="宋体" w:cs="宋体"/>
          <w:b w:val="0"/>
          <w:bCs/>
          <w:color w:val="auto"/>
          <w:sz w:val="24"/>
          <w:szCs w:val="24"/>
          <w:highlight w:val="none"/>
        </w:rPr>
        <w:t>%）、《厦门市政府采购验收报告》和全部货物清单给买方，买方收到最终用户</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使用单位</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货款后凭发票及验收报告支付至本合同总价100%的款项（即中标金额的</w:t>
      </w:r>
      <w:r>
        <w:rPr>
          <w:rFonts w:hint="eastAsia" w:ascii="宋体" w:hAnsi="宋体" w:eastAsia="宋体" w:cs="宋体"/>
          <w:b w:val="0"/>
          <w:bCs/>
          <w:color w:val="auto"/>
          <w:sz w:val="24"/>
          <w:szCs w:val="24"/>
          <w:highlight w:val="none"/>
          <w:lang w:val="en-US" w:eastAsia="zh-CN"/>
        </w:rPr>
        <w:t>100</w:t>
      </w:r>
      <w:r>
        <w:rPr>
          <w:rFonts w:hint="eastAsia" w:ascii="宋体" w:hAnsi="宋体" w:eastAsia="宋体" w:cs="宋体"/>
          <w:b w:val="0"/>
          <w:bCs/>
          <w:color w:val="auto"/>
          <w:sz w:val="24"/>
          <w:szCs w:val="24"/>
          <w:highlight w:val="none"/>
        </w:rPr>
        <w:t>%）。</w:t>
      </w:r>
    </w:p>
    <w:p w14:paraId="6BD04286">
      <w:pPr>
        <w:pStyle w:val="16"/>
        <w:spacing w:line="360" w:lineRule="auto"/>
        <w:ind w:firstLine="378"/>
        <w:jc w:val="both"/>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color w:val="auto"/>
          <w:kern w:val="0"/>
          <w:sz w:val="24"/>
          <w:szCs w:val="24"/>
          <w:highlight w:val="none"/>
        </w:rPr>
        <w:t>合同签订后</w:t>
      </w:r>
      <w:r>
        <w:rPr>
          <w:rFonts w:hint="eastAsia" w:ascii="宋体" w:hAnsi="宋体" w:cs="宋体"/>
          <w:color w:val="auto"/>
          <w:kern w:val="0"/>
          <w:sz w:val="24"/>
          <w:szCs w:val="24"/>
          <w:highlight w:val="none"/>
          <w:lang w:eastAsia="zh-CN"/>
        </w:rPr>
        <w:t>1</w:t>
      </w:r>
      <w:r>
        <w:rPr>
          <w:rFonts w:hint="eastAsia" w:ascii="宋体" w:hAnsi="宋体" w:cs="宋体"/>
          <w:color w:val="auto"/>
          <w:kern w:val="0"/>
          <w:sz w:val="24"/>
          <w:szCs w:val="24"/>
          <w:highlight w:val="none"/>
          <w:lang w:val="en-US" w:eastAsia="zh-CN"/>
        </w:rPr>
        <w:t>0</w:t>
      </w:r>
      <w:r>
        <w:rPr>
          <w:rFonts w:hint="eastAsia" w:ascii="宋体" w:hAnsi="宋体" w:cs="宋体"/>
          <w:color w:val="auto"/>
          <w:kern w:val="0"/>
          <w:sz w:val="24"/>
          <w:szCs w:val="24"/>
          <w:highlight w:val="none"/>
          <w:lang w:eastAsia="zh-CN"/>
        </w:rPr>
        <w:t>个</w:t>
      </w:r>
      <w:r>
        <w:rPr>
          <w:rFonts w:hint="eastAsia" w:ascii="宋体" w:hAnsi="宋体" w:eastAsia="宋体" w:cs="宋体"/>
          <w:color w:val="auto"/>
          <w:kern w:val="0"/>
          <w:sz w:val="24"/>
          <w:szCs w:val="24"/>
          <w:highlight w:val="none"/>
        </w:rPr>
        <w:t>工作日内，</w:t>
      </w:r>
      <w:r>
        <w:rPr>
          <w:rFonts w:hint="eastAsia" w:ascii="宋体" w:hAnsi="宋体" w:eastAsia="宋体" w:cs="宋体"/>
          <w:color w:val="auto"/>
          <w:sz w:val="24"/>
          <w:szCs w:val="24"/>
          <w:highlight w:val="none"/>
        </w:rPr>
        <w:t>卖方向买方</w:t>
      </w:r>
      <w:r>
        <w:rPr>
          <w:rFonts w:hint="eastAsia" w:ascii="宋体" w:hAnsi="宋体" w:eastAsia="宋体" w:cs="宋体"/>
          <w:color w:val="auto"/>
          <w:kern w:val="0"/>
          <w:sz w:val="24"/>
          <w:szCs w:val="24"/>
          <w:highlight w:val="none"/>
        </w:rPr>
        <w:t>支付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的3%作为</w:t>
      </w:r>
      <w:r>
        <w:rPr>
          <w:rFonts w:hint="eastAsia" w:ascii="宋体" w:hAnsi="宋体" w:eastAsia="宋体" w:cs="宋体"/>
          <w:color w:val="auto"/>
          <w:kern w:val="0"/>
          <w:sz w:val="24"/>
          <w:szCs w:val="24"/>
          <w:highlight w:val="none"/>
        </w:rPr>
        <w:t>项目</w:t>
      </w:r>
      <w:r>
        <w:rPr>
          <w:rFonts w:hint="eastAsia" w:ascii="宋体" w:hAnsi="宋体" w:cs="宋体"/>
          <w:color w:val="auto"/>
          <w:kern w:val="0"/>
          <w:sz w:val="24"/>
          <w:szCs w:val="24"/>
          <w:highlight w:val="none"/>
          <w:lang w:eastAsia="zh-CN"/>
        </w:rPr>
        <w:t>履约保证金（</w:t>
      </w:r>
      <w:r>
        <w:rPr>
          <w:rFonts w:hint="eastAsia" w:ascii="宋体" w:hAnsi="宋体" w:cs="宋体"/>
          <w:color w:val="auto"/>
          <w:kern w:val="0"/>
          <w:sz w:val="24"/>
          <w:szCs w:val="24"/>
          <w:highlight w:val="none"/>
          <w:lang w:val="en-US" w:eastAsia="zh-CN"/>
        </w:rPr>
        <w:t>中小企业减半</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可以转账、支票、汇票、本票或金融机构、担保机构出具的保函等形式交纳，且在合同签订时一并提交，质量保证期届满且无合同纠纷后</w:t>
      </w:r>
      <w:r>
        <w:rPr>
          <w:rFonts w:hint="eastAsia" w:ascii="宋体" w:hAnsi="宋体" w:cs="宋体"/>
          <w:color w:val="auto"/>
          <w:kern w:val="0"/>
          <w:sz w:val="24"/>
          <w:szCs w:val="24"/>
          <w:highlight w:val="none"/>
          <w:lang w:val="en-US" w:eastAsia="zh-CN"/>
        </w:rPr>
        <w:t>7个</w:t>
      </w:r>
      <w:r>
        <w:rPr>
          <w:rFonts w:hint="eastAsia" w:ascii="宋体" w:hAnsi="宋体" w:eastAsia="宋体" w:cs="宋体"/>
          <w:color w:val="auto"/>
          <w:kern w:val="0"/>
          <w:sz w:val="24"/>
          <w:szCs w:val="24"/>
          <w:highlight w:val="none"/>
        </w:rPr>
        <w:t>工作日内，向</w:t>
      </w:r>
      <w:r>
        <w:rPr>
          <w:rFonts w:hint="eastAsia" w:ascii="宋体" w:hAnsi="宋体" w:eastAsia="宋体" w:cs="宋体"/>
          <w:color w:val="auto"/>
          <w:sz w:val="24"/>
          <w:szCs w:val="24"/>
          <w:highlight w:val="none"/>
        </w:rPr>
        <w:t>中标</w:t>
      </w:r>
      <w:r>
        <w:rPr>
          <w:rFonts w:hint="eastAsia" w:ascii="宋体" w:hAnsi="宋体" w:eastAsia="宋体" w:cs="宋体"/>
          <w:color w:val="auto"/>
          <w:kern w:val="0"/>
          <w:sz w:val="24"/>
          <w:szCs w:val="24"/>
          <w:highlight w:val="none"/>
        </w:rPr>
        <w:t>供应商无息返还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的3%</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p>
    <w:p w14:paraId="45B57D4C">
      <w:pPr>
        <w:pStyle w:val="16"/>
        <w:spacing w:line="360" w:lineRule="auto"/>
        <w:ind w:firstLine="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八、合同签订</w:t>
      </w:r>
    </w:p>
    <w:p w14:paraId="7DECA42E">
      <w:pPr>
        <w:pStyle w:val="16"/>
        <w:spacing w:line="360" w:lineRule="auto"/>
        <w:ind w:firstLine="47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1.中标供应商接到中标通知书后</w:t>
      </w:r>
      <w:r>
        <w:rPr>
          <w:rFonts w:hint="eastAsia" w:ascii="宋体" w:hAnsi="宋体" w:eastAsia="宋体" w:cs="宋体"/>
          <w:b w:val="0"/>
          <w:bCs/>
          <w:color w:val="auto"/>
          <w:sz w:val="24"/>
          <w:szCs w:val="24"/>
          <w:highlight w:val="none"/>
          <w:lang w:val="en-US" w:eastAsia="zh-CN"/>
        </w:rPr>
        <w:t>2</w:t>
      </w:r>
      <w:r>
        <w:rPr>
          <w:rFonts w:ascii="宋体" w:hAnsi="宋体" w:eastAsia="宋体" w:cs="宋体"/>
          <w:b w:val="0"/>
          <w:bCs/>
          <w:color w:val="auto"/>
          <w:sz w:val="24"/>
          <w:szCs w:val="24"/>
          <w:highlight w:val="none"/>
        </w:rPr>
        <w:t>0个日历日内，持中标通知书与</w:t>
      </w:r>
      <w:r>
        <w:rPr>
          <w:rFonts w:hint="eastAsia" w:ascii="宋体" w:hAnsi="宋体" w:eastAsia="宋体" w:cs="宋体"/>
          <w:b w:val="0"/>
          <w:bCs/>
          <w:color w:val="auto"/>
          <w:sz w:val="24"/>
          <w:szCs w:val="24"/>
          <w:highlight w:val="none"/>
          <w:lang w:eastAsia="zh-CN"/>
        </w:rPr>
        <w:t>采购单位</w:t>
      </w:r>
      <w:r>
        <w:rPr>
          <w:rFonts w:ascii="宋体" w:hAnsi="宋体" w:eastAsia="宋体" w:cs="宋体"/>
          <w:b w:val="0"/>
          <w:bCs/>
          <w:color w:val="auto"/>
          <w:sz w:val="24"/>
          <w:szCs w:val="24"/>
          <w:highlight w:val="none"/>
        </w:rPr>
        <w:t>签订合同。</w:t>
      </w:r>
    </w:p>
    <w:p w14:paraId="542680DF">
      <w:pPr>
        <w:pStyle w:val="16"/>
        <w:spacing w:line="360" w:lineRule="auto"/>
        <w:ind w:firstLine="378"/>
        <w:jc w:val="both"/>
        <w:rPr>
          <w:rFonts w:ascii="宋体" w:hAnsi="宋体" w:eastAsia="宋体" w:cs="宋体"/>
          <w:color w:val="auto"/>
          <w:sz w:val="24"/>
          <w:szCs w:val="24"/>
          <w:highlight w:val="none"/>
        </w:rPr>
      </w:pPr>
      <w:r>
        <w:rPr>
          <w:rFonts w:ascii="宋体" w:hAnsi="宋体" w:eastAsia="宋体" w:cs="宋体"/>
          <w:b w:val="0"/>
          <w:bCs/>
          <w:color w:val="auto"/>
          <w:sz w:val="24"/>
          <w:szCs w:val="24"/>
          <w:highlight w:val="none"/>
        </w:rPr>
        <w:t>2.招标文件、投标文件均作为合同订立的基础，为合同组成部分。</w:t>
      </w:r>
    </w:p>
    <w:p w14:paraId="06BB437B">
      <w:pPr>
        <w:pStyle w:val="16"/>
        <w:spacing w:line="360" w:lineRule="auto"/>
        <w:ind w:right="-60" w:firstLine="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九、其他事项</w:t>
      </w:r>
    </w:p>
    <w:p w14:paraId="20DA9E76">
      <w:pPr>
        <w:pStyle w:val="16"/>
        <w:spacing w:line="360" w:lineRule="auto"/>
        <w:ind w:firstLine="482"/>
        <w:jc w:val="left"/>
        <w:rPr>
          <w:rFonts w:ascii="宋体" w:hAnsi="宋体" w:eastAsia="宋体" w:cs="宋体"/>
          <w:color w:val="auto"/>
          <w:sz w:val="24"/>
          <w:szCs w:val="24"/>
          <w:highlight w:val="none"/>
        </w:rPr>
      </w:pPr>
      <w:r>
        <w:rPr>
          <w:rFonts w:ascii="宋体" w:hAnsi="宋体" w:eastAsia="宋体" w:cs="宋体"/>
          <w:b/>
          <w:color w:val="auto"/>
          <w:sz w:val="24"/>
          <w:szCs w:val="24"/>
          <w:highlight w:val="none"/>
        </w:rPr>
        <w:t>★1.本项目最高限价为人民币</w:t>
      </w:r>
      <w:r>
        <w:rPr>
          <w:rFonts w:hint="eastAsia" w:ascii="宋体" w:hAnsi="宋体" w:eastAsia="宋体" w:cs="宋体"/>
          <w:b/>
          <w:color w:val="auto"/>
          <w:sz w:val="24"/>
          <w:szCs w:val="24"/>
          <w:highlight w:val="none"/>
          <w:lang w:val="en-US" w:eastAsia="zh-CN"/>
        </w:rPr>
        <w:t>255万</w:t>
      </w:r>
      <w:r>
        <w:rPr>
          <w:rFonts w:hint="default" w:ascii="宋体" w:hAnsi="宋体" w:eastAsia="宋体" w:cs="宋体"/>
          <w:b/>
          <w:color w:val="auto"/>
          <w:sz w:val="24"/>
          <w:szCs w:val="24"/>
          <w:highlight w:val="none"/>
          <w:lang w:val="en-US" w:eastAsia="zh-CN"/>
        </w:rPr>
        <w:t>元</w:t>
      </w:r>
      <w:r>
        <w:rPr>
          <w:rFonts w:ascii="宋体" w:hAnsi="宋体" w:eastAsia="宋体" w:cs="宋体"/>
          <w:b/>
          <w:color w:val="auto"/>
          <w:sz w:val="24"/>
          <w:szCs w:val="24"/>
          <w:highlight w:val="none"/>
        </w:rPr>
        <w:t>，投标人不得超过最高限价，否则将做无效投标处理。</w:t>
      </w:r>
    </w:p>
    <w:p w14:paraId="1F4A7319">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2．投标人在投标文件中详细说明所投货物的技术水平、性能等(材质构成、油漆、内外部结构、五金配件、制造工艺、生产流程、加工设备及其它)。</w:t>
      </w:r>
    </w:p>
    <w:p w14:paraId="6F575C3E">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3．附件及零配件：投标人应列出备品/备件及附件的清单及价格。</w:t>
      </w:r>
    </w:p>
    <w:p w14:paraId="1AB66914">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4．投标人认为有必要提供的其它技术资料。</w:t>
      </w:r>
    </w:p>
    <w:p w14:paraId="0F0D6FEA">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5．投标人若有其它方面的特殊功能及优惠条件，可在投标文件中注明。</w:t>
      </w:r>
    </w:p>
    <w:p w14:paraId="3EB4C012">
      <w:pPr>
        <w:pStyle w:val="1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6．如</w:t>
      </w:r>
      <w:r>
        <w:rPr>
          <w:rFonts w:hint="eastAsia" w:ascii="宋体" w:hAnsi="宋体" w:eastAsia="宋体" w:cs="宋体"/>
          <w:b w:val="0"/>
          <w:bCs/>
          <w:color w:val="auto"/>
          <w:sz w:val="24"/>
          <w:szCs w:val="24"/>
          <w:highlight w:val="none"/>
          <w:lang w:eastAsia="zh-CN"/>
        </w:rPr>
        <w:t>采购单位</w:t>
      </w:r>
      <w:r>
        <w:rPr>
          <w:rFonts w:ascii="宋体" w:hAnsi="宋体" w:eastAsia="宋体" w:cs="宋体"/>
          <w:b w:val="0"/>
          <w:bCs/>
          <w:color w:val="auto"/>
          <w:sz w:val="24"/>
          <w:szCs w:val="24"/>
          <w:highlight w:val="none"/>
        </w:rPr>
        <w:t>对采购数量有所调整，将按中标单价调整合同总价，中标供应商不得有异议。如款式及型号有所变动必须经</w:t>
      </w:r>
      <w:r>
        <w:rPr>
          <w:rFonts w:hint="eastAsia" w:ascii="宋体" w:hAnsi="宋体" w:eastAsia="宋体" w:cs="宋体"/>
          <w:b w:val="0"/>
          <w:bCs/>
          <w:color w:val="auto"/>
          <w:sz w:val="24"/>
          <w:szCs w:val="24"/>
          <w:highlight w:val="none"/>
          <w:lang w:eastAsia="zh-CN"/>
        </w:rPr>
        <w:t>采购单位</w:t>
      </w:r>
      <w:r>
        <w:rPr>
          <w:rFonts w:ascii="宋体" w:hAnsi="宋体" w:eastAsia="宋体" w:cs="宋体"/>
          <w:b w:val="0"/>
          <w:bCs/>
          <w:color w:val="auto"/>
          <w:sz w:val="24"/>
          <w:szCs w:val="24"/>
          <w:highlight w:val="none"/>
        </w:rPr>
        <w:t>书面确认，涉及单价变动的以中标单价为基准，由</w:t>
      </w:r>
      <w:r>
        <w:rPr>
          <w:rFonts w:hint="eastAsia" w:ascii="宋体" w:hAnsi="宋体" w:eastAsia="宋体" w:cs="宋体"/>
          <w:b w:val="0"/>
          <w:bCs/>
          <w:color w:val="auto"/>
          <w:sz w:val="24"/>
          <w:szCs w:val="24"/>
          <w:highlight w:val="none"/>
          <w:lang w:eastAsia="zh-CN"/>
        </w:rPr>
        <w:t>采购单位</w:t>
      </w:r>
      <w:r>
        <w:rPr>
          <w:rFonts w:ascii="宋体" w:hAnsi="宋体" w:eastAsia="宋体" w:cs="宋体"/>
          <w:b w:val="0"/>
          <w:bCs/>
          <w:color w:val="auto"/>
          <w:sz w:val="24"/>
          <w:szCs w:val="24"/>
          <w:highlight w:val="none"/>
        </w:rPr>
        <w:t>和中标供应商协商确定。</w:t>
      </w:r>
    </w:p>
    <w:p w14:paraId="6B91E6A0">
      <w:pPr>
        <w:pStyle w:val="16"/>
        <w:spacing w:line="360" w:lineRule="auto"/>
        <w:ind w:firstLine="482"/>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★7.</w:t>
      </w:r>
      <w:r>
        <w:rPr>
          <w:rFonts w:hint="eastAsia" w:ascii="宋体" w:hAnsi="宋体" w:eastAsia="宋体" w:cs="宋体"/>
          <w:b/>
          <w:color w:val="auto"/>
          <w:sz w:val="24"/>
          <w:szCs w:val="24"/>
          <w:highlight w:val="none"/>
          <w:lang w:val="en-US" w:eastAsia="zh-CN"/>
        </w:rPr>
        <w:t>交货</w:t>
      </w:r>
      <w:r>
        <w:rPr>
          <w:rFonts w:ascii="宋体" w:hAnsi="宋体" w:eastAsia="宋体" w:cs="宋体"/>
          <w:b/>
          <w:color w:val="auto"/>
          <w:sz w:val="24"/>
          <w:szCs w:val="24"/>
          <w:highlight w:val="none"/>
        </w:rPr>
        <w:t>期：合同签订之日起</w:t>
      </w:r>
      <w:r>
        <w:rPr>
          <w:rFonts w:hint="eastAsia" w:ascii="宋体" w:hAnsi="宋体" w:eastAsia="宋体" w:cs="宋体"/>
          <w:b/>
          <w:color w:val="auto"/>
          <w:sz w:val="24"/>
          <w:szCs w:val="24"/>
          <w:highlight w:val="none"/>
          <w:lang w:val="en-US" w:eastAsia="zh-CN"/>
        </w:rPr>
        <w:t>6</w:t>
      </w:r>
      <w:r>
        <w:rPr>
          <w:rFonts w:ascii="宋体" w:hAnsi="宋体" w:eastAsia="宋体" w:cs="宋体"/>
          <w:b/>
          <w:color w:val="auto"/>
          <w:sz w:val="24"/>
          <w:szCs w:val="24"/>
          <w:highlight w:val="none"/>
        </w:rPr>
        <w:t>0个日历日内（含交货及安装）。</w:t>
      </w:r>
    </w:p>
    <w:p w14:paraId="0D7F7B92">
      <w:pPr>
        <w:pStyle w:val="16"/>
        <w:spacing w:line="360" w:lineRule="auto"/>
        <w:ind w:right="30" w:firstLine="590"/>
        <w:jc w:val="left"/>
        <w:rPr>
          <w:rFonts w:ascii="宋体" w:hAnsi="宋体" w:eastAsia="宋体" w:cs="宋体"/>
          <w:color w:val="auto"/>
          <w:sz w:val="24"/>
          <w:szCs w:val="24"/>
          <w:highlight w:val="none"/>
        </w:rPr>
      </w:pPr>
      <w:r>
        <w:rPr>
          <w:rFonts w:ascii="宋体" w:hAnsi="宋体" w:eastAsia="宋体" w:cs="宋体"/>
          <w:b/>
          <w:color w:val="auto"/>
          <w:sz w:val="24"/>
          <w:szCs w:val="24"/>
          <w:highlight w:val="none"/>
        </w:rPr>
        <w:t>8.原件备查指：评审结束后，有质疑投诉或是</w:t>
      </w:r>
      <w:r>
        <w:rPr>
          <w:rFonts w:hint="eastAsia" w:ascii="宋体" w:hAnsi="宋体" w:eastAsia="宋体" w:cs="宋体"/>
          <w:b/>
          <w:color w:val="auto"/>
          <w:sz w:val="24"/>
          <w:szCs w:val="24"/>
          <w:highlight w:val="none"/>
          <w:lang w:eastAsia="zh-CN"/>
        </w:rPr>
        <w:t>采购单位</w:t>
      </w:r>
      <w:r>
        <w:rPr>
          <w:rFonts w:hint="eastAsia" w:ascii="宋体" w:hAnsi="宋体" w:eastAsia="宋体" w:cs="宋体"/>
          <w:b/>
          <w:color w:val="auto"/>
          <w:sz w:val="24"/>
          <w:szCs w:val="24"/>
          <w:highlight w:val="none"/>
          <w:lang w:val="en-US" w:eastAsia="zh-CN"/>
        </w:rPr>
        <w:t>或是使用单位</w:t>
      </w:r>
      <w:r>
        <w:rPr>
          <w:rFonts w:ascii="宋体" w:hAnsi="宋体" w:eastAsia="宋体" w:cs="宋体"/>
          <w:b/>
          <w:color w:val="auto"/>
          <w:sz w:val="24"/>
          <w:szCs w:val="24"/>
          <w:highlight w:val="none"/>
        </w:rPr>
        <w:t>发现虚假应标等情况，投标人需在3个工作日内提交原件核查，否则被视为放弃中标资格或做虚假应标处理。投标人提供书面承诺函（格式自拟）。</w:t>
      </w:r>
    </w:p>
    <w:p w14:paraId="55CC88B3">
      <w:pPr>
        <w:pStyle w:val="16"/>
        <w:spacing w:line="360" w:lineRule="auto"/>
        <w:ind w:firstLine="472"/>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★9.投标人须在投标文件中作出响应：投标人若中标，未按工期内完成交付使用并最终验收合格，每逾期一天，罚款为合同总额的千分之一。</w:t>
      </w:r>
    </w:p>
    <w:p w14:paraId="337B807C">
      <w:pPr>
        <w:pStyle w:val="16"/>
        <w:spacing w:line="360" w:lineRule="auto"/>
        <w:ind w:firstLine="480"/>
        <w:jc w:val="both"/>
        <w:rPr>
          <w:rFonts w:hint="default" w:ascii="宋体" w:hAnsi="宋体" w:eastAsia="宋体" w:cs="宋体"/>
          <w:bCs/>
          <w:color w:val="auto"/>
          <w:sz w:val="24"/>
          <w:szCs w:val="24"/>
          <w:highlight w:val="none"/>
          <w:lang w:val="en-US" w:eastAsia="zh-CN"/>
        </w:rPr>
      </w:pPr>
      <w:r>
        <w:rPr>
          <w:rFonts w:ascii="宋体" w:hAnsi="宋体" w:eastAsia="宋体" w:cs="宋体"/>
          <w:b w:val="0"/>
          <w:bCs/>
          <w:color w:val="auto"/>
          <w:sz w:val="24"/>
          <w:szCs w:val="24"/>
          <w:highlight w:val="none"/>
        </w:rPr>
        <w:t>10.本项目施工地点因单位日常办公，中标供应商须采取必要的措施，避免影响其单位正常上班秩序，确保工期如期完成，供应商报价时须提供该措施，包括安全、保洁、噪声等防患以及施工计划安排措施。</w:t>
      </w:r>
      <w:r>
        <w:rPr>
          <w:rFonts w:hint="eastAsia" w:ascii="宋体" w:hAnsi="宋体" w:eastAsia="宋体" w:cs="宋体"/>
          <w:b w:val="0"/>
          <w:bCs/>
          <w:color w:val="auto"/>
          <w:sz w:val="24"/>
          <w:szCs w:val="24"/>
          <w:highlight w:val="none"/>
          <w:lang w:val="en-US" w:eastAsia="zh-CN"/>
        </w:rPr>
        <w:t>如有损坏现场，需恢复原样。</w:t>
      </w:r>
    </w:p>
    <w:p w14:paraId="694E5D26">
      <w:pPr>
        <w:pStyle w:val="16"/>
        <w:spacing w:line="360" w:lineRule="auto"/>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 xml:space="preserve">  </w:t>
      </w:r>
      <w:r>
        <w:rPr>
          <w:rFonts w:hint="eastAsia" w:ascii="宋体" w:hAnsi="宋体" w:eastAsia="宋体" w:cs="宋体"/>
          <w:b w:val="0"/>
          <w:bCs/>
          <w:color w:val="auto"/>
          <w:sz w:val="24"/>
          <w:szCs w:val="24"/>
          <w:highlight w:val="none"/>
          <w:lang w:val="en-US" w:eastAsia="zh-CN"/>
        </w:rPr>
        <w:t xml:space="preserve">  </w:t>
      </w:r>
      <w:r>
        <w:rPr>
          <w:rFonts w:ascii="宋体" w:hAnsi="宋体" w:eastAsia="宋体" w:cs="宋体"/>
          <w:b w:val="0"/>
          <w:bCs/>
          <w:color w:val="auto"/>
          <w:sz w:val="24"/>
          <w:szCs w:val="24"/>
          <w:highlight w:val="none"/>
        </w:rPr>
        <w:t>11.中标供应商负责提供的货物由</w:t>
      </w:r>
      <w:r>
        <w:rPr>
          <w:rFonts w:hint="eastAsia" w:ascii="宋体" w:hAnsi="宋体" w:eastAsia="宋体" w:cs="宋体"/>
          <w:b w:val="0"/>
          <w:bCs/>
          <w:color w:val="auto"/>
          <w:sz w:val="24"/>
          <w:szCs w:val="24"/>
          <w:highlight w:val="none"/>
          <w:lang w:eastAsia="zh-CN"/>
        </w:rPr>
        <w:t>使用单位</w:t>
      </w:r>
      <w:r>
        <w:rPr>
          <w:rFonts w:ascii="宋体" w:hAnsi="宋体" w:eastAsia="宋体" w:cs="宋体"/>
          <w:b w:val="0"/>
          <w:bCs/>
          <w:color w:val="auto"/>
          <w:sz w:val="24"/>
          <w:szCs w:val="24"/>
          <w:highlight w:val="none"/>
        </w:rPr>
        <w:t>指定的摆放位置，如果指定摆放位置被占用，由中标供应商负责搬运,搬运至</w:t>
      </w:r>
      <w:r>
        <w:rPr>
          <w:rFonts w:hint="eastAsia" w:ascii="宋体" w:hAnsi="宋体" w:eastAsia="宋体" w:cs="宋体"/>
          <w:b w:val="0"/>
          <w:bCs/>
          <w:color w:val="auto"/>
          <w:sz w:val="24"/>
          <w:szCs w:val="24"/>
          <w:highlight w:val="none"/>
          <w:lang w:eastAsia="zh-CN"/>
        </w:rPr>
        <w:t>使用单位</w:t>
      </w:r>
      <w:r>
        <w:rPr>
          <w:rFonts w:ascii="宋体" w:hAnsi="宋体" w:eastAsia="宋体" w:cs="宋体"/>
          <w:b w:val="0"/>
          <w:bCs/>
          <w:color w:val="auto"/>
          <w:sz w:val="24"/>
          <w:szCs w:val="24"/>
          <w:highlight w:val="none"/>
        </w:rPr>
        <w:t>指定位置。</w:t>
      </w:r>
    </w:p>
    <w:p w14:paraId="27503B74">
      <w:pPr>
        <w:pStyle w:val="16"/>
        <w:spacing w:line="360" w:lineRule="auto"/>
        <w:ind w:firstLine="0"/>
        <w:jc w:val="both"/>
        <w:outlineLvl w:val="2"/>
        <w:rPr>
          <w:rFonts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十</w:t>
      </w:r>
      <w:r>
        <w:rPr>
          <w:rFonts w:ascii="宋体" w:hAnsi="宋体" w:eastAsia="宋体" w:cs="宋体"/>
          <w:b/>
          <w:color w:val="auto"/>
          <w:sz w:val="24"/>
          <w:szCs w:val="24"/>
          <w:highlight w:val="none"/>
        </w:rPr>
        <w:t>、商务要求（以“★”标示的内容为不允许负偏离的实质性要求）</w:t>
      </w:r>
    </w:p>
    <w:p w14:paraId="338C5C3B">
      <w:pPr>
        <w:pStyle w:val="16"/>
        <w:spacing w:line="360" w:lineRule="auto"/>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采购包1：</w:t>
      </w:r>
    </w:p>
    <w:tbl>
      <w:tblPr>
        <w:tblStyle w:val="11"/>
        <w:tblW w:w="9660"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29"/>
        <w:gridCol w:w="718"/>
        <w:gridCol w:w="2416"/>
        <w:gridCol w:w="5997"/>
      </w:tblGrid>
      <w:tr w14:paraId="539CFF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529" w:type="dxa"/>
          </w:tcPr>
          <w:p w14:paraId="7D60B342">
            <w:pPr>
              <w:pStyle w:val="1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序号</w:t>
            </w:r>
          </w:p>
        </w:tc>
        <w:tc>
          <w:tcPr>
            <w:tcW w:w="718" w:type="dxa"/>
          </w:tcPr>
          <w:p w14:paraId="094A0AF1">
            <w:pPr>
              <w:pStyle w:val="1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参数性质</w:t>
            </w:r>
          </w:p>
        </w:tc>
        <w:tc>
          <w:tcPr>
            <w:tcW w:w="2416" w:type="dxa"/>
          </w:tcPr>
          <w:p w14:paraId="21B185F4">
            <w:pPr>
              <w:pStyle w:val="1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类型</w:t>
            </w:r>
          </w:p>
        </w:tc>
        <w:tc>
          <w:tcPr>
            <w:tcW w:w="5997" w:type="dxa"/>
          </w:tcPr>
          <w:p w14:paraId="7295CCB2">
            <w:pPr>
              <w:pStyle w:val="1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要求</w:t>
            </w:r>
          </w:p>
        </w:tc>
      </w:tr>
      <w:tr w14:paraId="0170B8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529" w:type="dxa"/>
          </w:tcPr>
          <w:p w14:paraId="5742D3C0">
            <w:pPr>
              <w:pStyle w:val="1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1</w:t>
            </w:r>
          </w:p>
        </w:tc>
        <w:tc>
          <w:tcPr>
            <w:tcW w:w="718" w:type="dxa"/>
          </w:tcPr>
          <w:p w14:paraId="1DC1AFF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2416" w:type="dxa"/>
          </w:tcPr>
          <w:p w14:paraId="2AFD9DCF">
            <w:pPr>
              <w:pStyle w:val="1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交货期</w:t>
            </w:r>
          </w:p>
        </w:tc>
        <w:tc>
          <w:tcPr>
            <w:tcW w:w="5997" w:type="dxa"/>
          </w:tcPr>
          <w:p w14:paraId="4FB1B539">
            <w:pPr>
              <w:pStyle w:val="1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★合同签订之日起</w:t>
            </w:r>
            <w:r>
              <w:rPr>
                <w:rFonts w:hint="eastAsia" w:ascii="宋体" w:hAnsi="宋体" w:eastAsia="宋体" w:cs="宋体"/>
                <w:b/>
                <w:color w:val="auto"/>
                <w:sz w:val="24"/>
                <w:szCs w:val="24"/>
                <w:highlight w:val="none"/>
                <w:lang w:val="en-US" w:eastAsia="zh-CN"/>
              </w:rPr>
              <w:t>6</w:t>
            </w:r>
            <w:r>
              <w:rPr>
                <w:rFonts w:ascii="宋体" w:hAnsi="宋体" w:eastAsia="宋体" w:cs="宋体"/>
                <w:b/>
                <w:color w:val="auto"/>
                <w:sz w:val="24"/>
                <w:szCs w:val="24"/>
                <w:highlight w:val="none"/>
              </w:rPr>
              <w:t>0个日历日内（含交货及安装）。</w:t>
            </w:r>
          </w:p>
        </w:tc>
      </w:tr>
      <w:tr w14:paraId="40B3A4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529" w:type="dxa"/>
          </w:tcPr>
          <w:p w14:paraId="28BC58A7">
            <w:pPr>
              <w:pStyle w:val="1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2</w:t>
            </w:r>
          </w:p>
        </w:tc>
        <w:tc>
          <w:tcPr>
            <w:tcW w:w="718" w:type="dxa"/>
          </w:tcPr>
          <w:p w14:paraId="2115D70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2416" w:type="dxa"/>
          </w:tcPr>
          <w:p w14:paraId="2427A3A4">
            <w:pPr>
              <w:pStyle w:val="1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交货地点</w:t>
            </w:r>
          </w:p>
        </w:tc>
        <w:tc>
          <w:tcPr>
            <w:tcW w:w="5997" w:type="dxa"/>
          </w:tcPr>
          <w:p w14:paraId="5EB0BA81">
            <w:pPr>
              <w:pStyle w:val="1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指定地点。</w:t>
            </w:r>
          </w:p>
        </w:tc>
      </w:tr>
      <w:tr w14:paraId="418667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529" w:type="dxa"/>
          </w:tcPr>
          <w:p w14:paraId="4AFC5380">
            <w:pPr>
              <w:pStyle w:val="1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3</w:t>
            </w:r>
          </w:p>
        </w:tc>
        <w:tc>
          <w:tcPr>
            <w:tcW w:w="718" w:type="dxa"/>
          </w:tcPr>
          <w:p w14:paraId="6729B32E">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2416" w:type="dxa"/>
          </w:tcPr>
          <w:p w14:paraId="259E14C5">
            <w:pPr>
              <w:pStyle w:val="1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交货条件</w:t>
            </w:r>
          </w:p>
        </w:tc>
        <w:tc>
          <w:tcPr>
            <w:tcW w:w="5997" w:type="dxa"/>
          </w:tcPr>
          <w:p w14:paraId="6F374011">
            <w:pPr>
              <w:pStyle w:val="1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按招标文件及合同约定执行。</w:t>
            </w:r>
          </w:p>
        </w:tc>
      </w:tr>
      <w:tr w14:paraId="71DF3A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529" w:type="dxa"/>
          </w:tcPr>
          <w:p w14:paraId="3853D9B3">
            <w:pPr>
              <w:pStyle w:val="1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4</w:t>
            </w:r>
          </w:p>
        </w:tc>
        <w:tc>
          <w:tcPr>
            <w:tcW w:w="718" w:type="dxa"/>
          </w:tcPr>
          <w:p w14:paraId="05A341A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2416" w:type="dxa"/>
          </w:tcPr>
          <w:p w14:paraId="64B5C106">
            <w:pPr>
              <w:pStyle w:val="1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是否邀请投标人验收</w:t>
            </w:r>
          </w:p>
        </w:tc>
        <w:tc>
          <w:tcPr>
            <w:tcW w:w="5997" w:type="dxa"/>
          </w:tcPr>
          <w:p w14:paraId="25091754">
            <w:pPr>
              <w:pStyle w:val="1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不邀请投标人验收</w:t>
            </w:r>
          </w:p>
        </w:tc>
      </w:tr>
      <w:tr w14:paraId="36A133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529" w:type="dxa"/>
          </w:tcPr>
          <w:p w14:paraId="60C48A38">
            <w:pPr>
              <w:pStyle w:val="1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5</w:t>
            </w:r>
          </w:p>
        </w:tc>
        <w:tc>
          <w:tcPr>
            <w:tcW w:w="718" w:type="dxa"/>
          </w:tcPr>
          <w:p w14:paraId="2A8A94E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2416" w:type="dxa"/>
          </w:tcPr>
          <w:p w14:paraId="56C7D54A">
            <w:pPr>
              <w:pStyle w:val="1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履约验收方式</w:t>
            </w:r>
          </w:p>
        </w:tc>
        <w:tc>
          <w:tcPr>
            <w:tcW w:w="5997" w:type="dxa"/>
          </w:tcPr>
          <w:p w14:paraId="6FD4D82E">
            <w:pPr>
              <w:pStyle w:val="1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1、期次1，说明：1．投标人提供货物的制造标准、安装标准、验收标准及技术规范等有关资料应符合国家规定的有关标准、规范要求。 2．投标人应保证提供原产、正宗品牌货物，不得用伪劣货物替代；如出现上述质量问题</w:t>
            </w:r>
            <w:r>
              <w:rPr>
                <w:rFonts w:hint="eastAsia" w:ascii="宋体" w:hAnsi="宋体" w:eastAsia="宋体" w:cs="宋体"/>
                <w:b/>
                <w:color w:val="auto"/>
                <w:sz w:val="24"/>
                <w:szCs w:val="24"/>
                <w:highlight w:val="none"/>
                <w:lang w:eastAsia="zh-CN"/>
              </w:rPr>
              <w:t>采购单位</w:t>
            </w:r>
            <w:r>
              <w:rPr>
                <w:rFonts w:ascii="宋体" w:hAnsi="宋体" w:eastAsia="宋体" w:cs="宋体"/>
                <w:b/>
                <w:color w:val="auto"/>
                <w:sz w:val="24"/>
                <w:szCs w:val="24"/>
                <w:highlight w:val="none"/>
              </w:rPr>
              <w:t>有权退货并解除合同。 3．在生产过程或验收过程中发现中标供应商对</w:t>
            </w:r>
            <w:r>
              <w:rPr>
                <w:rFonts w:hint="eastAsia" w:ascii="宋体" w:hAnsi="宋体" w:eastAsia="宋体" w:cs="宋体"/>
                <w:b/>
                <w:color w:val="auto"/>
                <w:sz w:val="24"/>
                <w:szCs w:val="24"/>
                <w:highlight w:val="none"/>
                <w:lang w:val="en-US" w:eastAsia="zh-CN"/>
              </w:rPr>
              <w:t>中标</w:t>
            </w:r>
            <w:r>
              <w:rPr>
                <w:rFonts w:ascii="宋体" w:hAnsi="宋体" w:eastAsia="宋体" w:cs="宋体"/>
                <w:b/>
                <w:color w:val="auto"/>
                <w:sz w:val="24"/>
                <w:szCs w:val="24"/>
                <w:highlight w:val="none"/>
              </w:rPr>
              <w:t>货物进行分包、转包，</w:t>
            </w:r>
            <w:r>
              <w:rPr>
                <w:rFonts w:hint="eastAsia" w:ascii="宋体" w:hAnsi="宋体" w:eastAsia="宋体" w:cs="宋体"/>
                <w:b/>
                <w:color w:val="auto"/>
                <w:sz w:val="24"/>
                <w:szCs w:val="24"/>
                <w:highlight w:val="none"/>
                <w:lang w:eastAsia="zh-CN"/>
              </w:rPr>
              <w:t>采购单位</w:t>
            </w:r>
            <w:r>
              <w:rPr>
                <w:rFonts w:ascii="宋体" w:hAnsi="宋体" w:eastAsia="宋体" w:cs="宋体"/>
                <w:b/>
                <w:color w:val="auto"/>
                <w:sz w:val="24"/>
                <w:szCs w:val="24"/>
                <w:highlight w:val="none"/>
              </w:rPr>
              <w:t>有权单方解除合同并有权拒付全部货款。 4．货物安装所需的配件或附加件，在合同签订前由中标供应商提交具体清单给</w:t>
            </w: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确认。 5.中标后生产前，向</w:t>
            </w: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确定所供货物的相关事项，经</w:t>
            </w: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书面确认是否增减后方可投入生产。否则，由此产生的一切后果由投标人负责。 6.货物初验：货物运抵</w:t>
            </w: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指定地点后由</w:t>
            </w: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对照采购清单对外观、包装及数量进行验收。到货初验时，中标供应商代表必须在场。同时，中标供应商必须提供货物的相关手续（品牌证书、装箱清单含货物的主附件、原产地证明书、品质保证书、出厂检验报告、合格证书、使用及维护说明书）。每件产品必须说明材质、规格、涂料、粘合剂等及是否含有毒、有害物质等情况。 7.最终验收：中标供应商负责现场安装、调试，待性能指标经验收合格后（附验收报告），中标供应商应与</w:t>
            </w: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共同签署《厦门市政府采购验收报告》。</w:t>
            </w:r>
          </w:p>
        </w:tc>
      </w:tr>
    </w:tbl>
    <w:p w14:paraId="03A27169">
      <w:pPr>
        <w:tabs>
          <w:tab w:val="left" w:pos="5130"/>
        </w:tabs>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除招标文件另有规定外，若出现有关法律、法规和规章有强制性规定但招标文件未列明的情形，则投标人应按照有关法律、法规和规章强制性规定执行。</w:t>
      </w:r>
    </w:p>
    <w:p w14:paraId="6B3D6812">
      <w:pPr>
        <w:tabs>
          <w:tab w:val="left" w:pos="5130"/>
        </w:tabs>
        <w:spacing w:line="360" w:lineRule="auto"/>
        <w:ind w:firstLine="480" w:firstLineChars="200"/>
        <w:rPr>
          <w:rFonts w:hint="eastAsia" w:ascii="宋体" w:hAnsi="宋体" w:eastAsia="宋体" w:cs="宋体"/>
          <w:color w:val="auto"/>
          <w:sz w:val="24"/>
          <w:szCs w:val="24"/>
          <w:highlight w:val="none"/>
        </w:rPr>
      </w:pPr>
    </w:p>
    <w:p w14:paraId="19951AE9">
      <w:pPr>
        <w:tabs>
          <w:tab w:val="left" w:pos="5130"/>
        </w:tabs>
        <w:spacing w:line="360" w:lineRule="auto"/>
        <w:ind w:firstLine="480" w:firstLineChars="200"/>
        <w:rPr>
          <w:rFonts w:hint="eastAsia" w:ascii="宋体" w:hAnsi="宋体" w:eastAsia="宋体" w:cs="宋体"/>
          <w:color w:val="auto"/>
          <w:sz w:val="24"/>
          <w:szCs w:val="24"/>
          <w:highlight w:val="none"/>
        </w:rPr>
      </w:pPr>
    </w:p>
    <w:p w14:paraId="5801FF97">
      <w:pPr>
        <w:spacing w:line="360" w:lineRule="auto"/>
        <w:rPr>
          <w:rFonts w:hint="eastAsia" w:ascii="宋体" w:hAnsi="宋体" w:eastAsia="宋体" w:cs="宋体"/>
          <w:color w:val="auto"/>
          <w:sz w:val="24"/>
          <w:szCs w:val="24"/>
          <w:highlight w:val="none"/>
        </w:rPr>
      </w:pPr>
    </w:p>
    <w:p w14:paraId="5266B049">
      <w:pPr>
        <w:numPr>
          <w:ilvl w:val="255"/>
          <w:numId w:val="0"/>
        </w:numPr>
        <w:spacing w:line="360" w:lineRule="auto"/>
        <w:ind w:firstLine="1285" w:firstLineChars="400"/>
        <w:rPr>
          <w:color w:val="auto"/>
          <w:highlight w:val="none"/>
        </w:rPr>
      </w:pPr>
      <w:r>
        <w:rPr>
          <w:rFonts w:hint="eastAsia" w:ascii="宋体" w:hAnsi="宋体" w:cs="宋体"/>
          <w:b/>
          <w:color w:val="auto"/>
          <w:sz w:val="32"/>
          <w:szCs w:val="32"/>
          <w:highlight w:val="none"/>
        </w:rPr>
        <w:t xml:space="preserve">第四章    </w:t>
      </w:r>
      <w:bookmarkStart w:id="0" w:name="OLE_LINK265"/>
      <w:bookmarkStart w:id="1" w:name="OLE_LINK266"/>
      <w:r>
        <w:rPr>
          <w:rFonts w:hint="eastAsia" w:ascii="宋体" w:hAnsi="宋体" w:cs="宋体"/>
          <w:b/>
          <w:color w:val="auto"/>
          <w:sz w:val="32"/>
          <w:szCs w:val="32"/>
          <w:highlight w:val="none"/>
        </w:rPr>
        <w:t>政府采购货物买卖合同（试行）</w:t>
      </w:r>
      <w:bookmarkEnd w:id="0"/>
      <w:bookmarkEnd w:id="1"/>
    </w:p>
    <w:sectPr>
      <w:headerReference r:id="rId8" w:type="default"/>
      <w:footerReference r:id="rId9"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Helvetica">
    <w:altName w:val="Arial"/>
    <w:panose1 w:val="020B0504020202030204"/>
    <w:charset w:val="00"/>
    <w:family w:val="swiss"/>
    <w:pitch w:val="default"/>
    <w:sig w:usb0="00000000"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B21DD">
    <w:pPr>
      <w:pStyle w:val="7"/>
      <w:rPr>
        <w:rFonts w:ascii="宋体" w:hAnsi="宋体"/>
        <w:sz w:val="21"/>
        <w:szCs w:val="21"/>
      </w:rPr>
    </w:pPr>
    <w:r>
      <w:rPr>
        <w:rFonts w:hint="eastAsia"/>
      </w:rPr>
      <w:t xml:space="preserve">                                          </w:t>
    </w:r>
    <w:r>
      <w:rPr>
        <w:rFonts w:hint="eastAsia" w:ascii="宋体" w:hAnsi="宋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36F48">
    <w:pPr>
      <w:pStyle w:val="7"/>
      <w:jc w:val="center"/>
    </w:pPr>
    <w:r>
      <w:rPr>
        <w:rFonts w:hint="eastAsia"/>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77E7A">
    <w:pPr>
      <w:pStyle w:val="7"/>
      <w:rPr>
        <w:rFonts w:ascii="宋体" w:hAnsi="宋体"/>
      </w:rPr>
    </w:pPr>
    <w:r>
      <w:rPr>
        <w:rFonts w:hint="eastAsia"/>
      </w:rPr>
      <w:t xml:space="preserve">                                          </w:t>
    </w:r>
    <w:r>
      <w:rPr>
        <w:rFonts w:hint="eastAsia" w:ascii="宋体" w:hAnsi="宋体"/>
        <w:sz w:val="21"/>
        <w:szCs w:val="21"/>
      </w:rPr>
      <w:t xml:space="preserve">   </w:t>
    </w:r>
    <w:r>
      <w:rPr>
        <w:rFonts w:ascii="宋体" w:hAnsi="宋体"/>
      </w:rPr>
      <w:t xml:space="preserve"> 1-</w:t>
    </w:r>
    <w:r>
      <w:rPr>
        <w:rFonts w:ascii="宋体" w:hAnsi="宋体"/>
      </w:rPr>
      <w:fldChar w:fldCharType="begin"/>
    </w:r>
    <w:r>
      <w:rPr>
        <w:rStyle w:val="14"/>
        <w:rFonts w:ascii="宋体" w:hAnsi="宋体"/>
      </w:rPr>
      <w:instrText xml:space="preserve"> PAGE </w:instrText>
    </w:r>
    <w:r>
      <w:rPr>
        <w:rFonts w:ascii="宋体" w:hAnsi="宋体"/>
      </w:rPr>
      <w:fldChar w:fldCharType="separate"/>
    </w:r>
    <w:r>
      <w:rPr>
        <w:rStyle w:val="14"/>
        <w:rFonts w:ascii="宋体" w:hAnsi="宋体"/>
      </w:rPr>
      <w:t>1</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94AA7">
    <w:pPr>
      <w:pStyle w:val="7"/>
      <w:jc w:val="center"/>
      <w:rPr>
        <w:rFonts w:ascii="宋体" w:hAnsi="宋体"/>
      </w:rPr>
    </w:pPr>
    <w:r>
      <w:rPr>
        <w:rStyle w:val="14"/>
        <w:rFonts w:ascii="宋体" w:hAnsi="宋体"/>
        <w:szCs w:val="20"/>
      </w:rPr>
      <w:t>2-1-</w:t>
    </w:r>
    <w:r>
      <w:rPr>
        <w:rFonts w:ascii="宋体" w:hAnsi="宋体"/>
        <w:szCs w:val="20"/>
      </w:rPr>
      <w:fldChar w:fldCharType="begin"/>
    </w:r>
    <w:r>
      <w:rPr>
        <w:rStyle w:val="14"/>
        <w:rFonts w:ascii="宋体" w:hAnsi="宋体"/>
        <w:szCs w:val="20"/>
      </w:rPr>
      <w:instrText xml:space="preserve"> PAGE </w:instrText>
    </w:r>
    <w:r>
      <w:rPr>
        <w:rFonts w:ascii="宋体" w:hAnsi="宋体"/>
        <w:szCs w:val="20"/>
      </w:rPr>
      <w:fldChar w:fldCharType="separate"/>
    </w:r>
    <w:r>
      <w:rPr>
        <w:rStyle w:val="14"/>
        <w:rFonts w:ascii="宋体" w:hAnsi="宋体"/>
        <w:szCs w:val="20"/>
      </w:rPr>
      <w:t>5</w:t>
    </w:r>
    <w:r>
      <w:rPr>
        <w:rFonts w:ascii="宋体" w:hAnsi="宋体"/>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5505C">
    <w:pPr>
      <w:pStyle w:val="7"/>
      <w:tabs>
        <w:tab w:val="right" w:pos="8460"/>
        <w:tab w:val="clear" w:pos="8306"/>
      </w:tabs>
      <w:ind w:right="-89" w:firstLine="420"/>
      <w:jc w:val="center"/>
      <w:rPr>
        <w:rFonts w:ascii="宋体" w:hAnsi="宋体"/>
      </w:rPr>
    </w:pPr>
    <w:r>
      <w:rPr>
        <w:rFonts w:hint="eastAsia" w:ascii="宋体" w:hAnsi="宋体"/>
        <w:szCs w:val="20"/>
      </w:rPr>
      <w:t>4</w:t>
    </w:r>
    <w:r>
      <w:rPr>
        <w:rFonts w:ascii="宋体" w:hAnsi="宋体"/>
        <w:szCs w:val="20"/>
      </w:rPr>
      <w:t>-</w:t>
    </w:r>
    <w:r>
      <w:rPr>
        <w:rFonts w:ascii="宋体" w:hAnsi="宋体"/>
        <w:szCs w:val="20"/>
      </w:rPr>
      <w:fldChar w:fldCharType="begin"/>
    </w:r>
    <w:r>
      <w:rPr>
        <w:rStyle w:val="14"/>
        <w:rFonts w:ascii="宋体" w:hAnsi="宋体"/>
        <w:szCs w:val="20"/>
      </w:rPr>
      <w:instrText xml:space="preserve"> PAGE </w:instrText>
    </w:r>
    <w:r>
      <w:rPr>
        <w:rFonts w:ascii="宋体" w:hAnsi="宋体"/>
        <w:szCs w:val="20"/>
      </w:rPr>
      <w:fldChar w:fldCharType="separate"/>
    </w:r>
    <w:r>
      <w:rPr>
        <w:rStyle w:val="14"/>
        <w:rFonts w:ascii="宋体" w:hAnsi="宋体"/>
        <w:szCs w:val="20"/>
      </w:rPr>
      <w:t>1</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1BC1B">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35BB1">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C22B40"/>
    <w:multiLevelType w:val="multilevel"/>
    <w:tmpl w:val="25C22B40"/>
    <w:lvl w:ilvl="0" w:tentative="0">
      <w:start w:val="1"/>
      <w:numFmt w:val="japaneseCounting"/>
      <w:lvlText w:val="%1、"/>
      <w:lvlJc w:val="left"/>
      <w:pPr>
        <w:tabs>
          <w:tab w:val="left" w:pos="480"/>
        </w:tabs>
        <w:ind w:left="480" w:hanging="4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36B4E"/>
    <w:rsid w:val="01D152A8"/>
    <w:rsid w:val="01FF4E35"/>
    <w:rsid w:val="02A039BD"/>
    <w:rsid w:val="02BF77F6"/>
    <w:rsid w:val="035C6FE2"/>
    <w:rsid w:val="047C599F"/>
    <w:rsid w:val="065A3ABE"/>
    <w:rsid w:val="07351E35"/>
    <w:rsid w:val="07B50006"/>
    <w:rsid w:val="08442073"/>
    <w:rsid w:val="098470A4"/>
    <w:rsid w:val="099A6FDB"/>
    <w:rsid w:val="0A0124A3"/>
    <w:rsid w:val="0B2E376B"/>
    <w:rsid w:val="0BA852CC"/>
    <w:rsid w:val="0C9B098C"/>
    <w:rsid w:val="0DCE0D04"/>
    <w:rsid w:val="0E1326A3"/>
    <w:rsid w:val="0EEA1F36"/>
    <w:rsid w:val="102122D4"/>
    <w:rsid w:val="10AD6EE0"/>
    <w:rsid w:val="11AF44AC"/>
    <w:rsid w:val="13734470"/>
    <w:rsid w:val="13C908A3"/>
    <w:rsid w:val="14107EB2"/>
    <w:rsid w:val="14627FE2"/>
    <w:rsid w:val="1576596C"/>
    <w:rsid w:val="15C251DC"/>
    <w:rsid w:val="15D030F4"/>
    <w:rsid w:val="15E277BC"/>
    <w:rsid w:val="1666200B"/>
    <w:rsid w:val="17F51899"/>
    <w:rsid w:val="186B1B5B"/>
    <w:rsid w:val="19C0641E"/>
    <w:rsid w:val="1B214753"/>
    <w:rsid w:val="1B4D5548"/>
    <w:rsid w:val="1B542D7A"/>
    <w:rsid w:val="1E6F5B56"/>
    <w:rsid w:val="1EDB2E6A"/>
    <w:rsid w:val="1F737547"/>
    <w:rsid w:val="206155F1"/>
    <w:rsid w:val="2130749E"/>
    <w:rsid w:val="21BB0CC1"/>
    <w:rsid w:val="21FB3F4F"/>
    <w:rsid w:val="23700025"/>
    <w:rsid w:val="2374660C"/>
    <w:rsid w:val="23B02B18"/>
    <w:rsid w:val="24B63B0F"/>
    <w:rsid w:val="257A54CD"/>
    <w:rsid w:val="265579A6"/>
    <w:rsid w:val="2661634B"/>
    <w:rsid w:val="28304227"/>
    <w:rsid w:val="28846321"/>
    <w:rsid w:val="28CA2D57"/>
    <w:rsid w:val="29332221"/>
    <w:rsid w:val="2A67266B"/>
    <w:rsid w:val="2ACB636B"/>
    <w:rsid w:val="2B150495"/>
    <w:rsid w:val="2B3758CC"/>
    <w:rsid w:val="2B5C5333"/>
    <w:rsid w:val="2C02237E"/>
    <w:rsid w:val="2C245E51"/>
    <w:rsid w:val="2CFF241A"/>
    <w:rsid w:val="2D3E73E6"/>
    <w:rsid w:val="2DD91A0E"/>
    <w:rsid w:val="2E1A575D"/>
    <w:rsid w:val="2F4E5AAB"/>
    <w:rsid w:val="2FE708CC"/>
    <w:rsid w:val="305C7460"/>
    <w:rsid w:val="31D10829"/>
    <w:rsid w:val="326A6587"/>
    <w:rsid w:val="36102196"/>
    <w:rsid w:val="36274EBB"/>
    <w:rsid w:val="36370AC5"/>
    <w:rsid w:val="364C66D0"/>
    <w:rsid w:val="36A302BA"/>
    <w:rsid w:val="37405B09"/>
    <w:rsid w:val="37DA5563"/>
    <w:rsid w:val="39615ED1"/>
    <w:rsid w:val="39CD7B28"/>
    <w:rsid w:val="3A5B3385"/>
    <w:rsid w:val="3A7951A4"/>
    <w:rsid w:val="3AA54601"/>
    <w:rsid w:val="3AC151B3"/>
    <w:rsid w:val="3ACF78CF"/>
    <w:rsid w:val="3C1F6635"/>
    <w:rsid w:val="3C833B1D"/>
    <w:rsid w:val="3CCD6091"/>
    <w:rsid w:val="3E9C3E09"/>
    <w:rsid w:val="3F1E2BD3"/>
    <w:rsid w:val="3FAF1A7E"/>
    <w:rsid w:val="428D7586"/>
    <w:rsid w:val="44673154"/>
    <w:rsid w:val="447C0AC8"/>
    <w:rsid w:val="469B2D5C"/>
    <w:rsid w:val="47242D51"/>
    <w:rsid w:val="47C06F1E"/>
    <w:rsid w:val="48FF5824"/>
    <w:rsid w:val="4A590F64"/>
    <w:rsid w:val="4B3A2B43"/>
    <w:rsid w:val="4C0B7A5E"/>
    <w:rsid w:val="4CB04E13"/>
    <w:rsid w:val="4DFC4A28"/>
    <w:rsid w:val="4E994025"/>
    <w:rsid w:val="4EE33AF2"/>
    <w:rsid w:val="4F883FE5"/>
    <w:rsid w:val="4FE237A9"/>
    <w:rsid w:val="507C3BFE"/>
    <w:rsid w:val="50DD469C"/>
    <w:rsid w:val="537231BE"/>
    <w:rsid w:val="54280337"/>
    <w:rsid w:val="552D54C7"/>
    <w:rsid w:val="588673C8"/>
    <w:rsid w:val="5C0A0310"/>
    <w:rsid w:val="5CB84210"/>
    <w:rsid w:val="5D042FB1"/>
    <w:rsid w:val="5E192A8C"/>
    <w:rsid w:val="5E451AD3"/>
    <w:rsid w:val="5E563CE0"/>
    <w:rsid w:val="5F8B43F3"/>
    <w:rsid w:val="607E751E"/>
    <w:rsid w:val="6138591F"/>
    <w:rsid w:val="613D4CE3"/>
    <w:rsid w:val="623600B0"/>
    <w:rsid w:val="62864468"/>
    <w:rsid w:val="640736AC"/>
    <w:rsid w:val="645111D2"/>
    <w:rsid w:val="6488096B"/>
    <w:rsid w:val="64ED07CF"/>
    <w:rsid w:val="65A11CE5"/>
    <w:rsid w:val="664663E8"/>
    <w:rsid w:val="669C24AC"/>
    <w:rsid w:val="674548F2"/>
    <w:rsid w:val="68C301C4"/>
    <w:rsid w:val="6A7A0D56"/>
    <w:rsid w:val="6B0625EA"/>
    <w:rsid w:val="6B8C0D41"/>
    <w:rsid w:val="6D062D75"/>
    <w:rsid w:val="6DD24A05"/>
    <w:rsid w:val="6E922B12"/>
    <w:rsid w:val="6FD42CB7"/>
    <w:rsid w:val="70161521"/>
    <w:rsid w:val="702966B0"/>
    <w:rsid w:val="70383246"/>
    <w:rsid w:val="703F45D4"/>
    <w:rsid w:val="70B328CC"/>
    <w:rsid w:val="715E0A8A"/>
    <w:rsid w:val="718F158B"/>
    <w:rsid w:val="71C50B09"/>
    <w:rsid w:val="72AE5A41"/>
    <w:rsid w:val="759C7DD3"/>
    <w:rsid w:val="75C37A55"/>
    <w:rsid w:val="760F67F7"/>
    <w:rsid w:val="762A3631"/>
    <w:rsid w:val="78235625"/>
    <w:rsid w:val="79A9101F"/>
    <w:rsid w:val="79AC0800"/>
    <w:rsid w:val="7A9B4AFD"/>
    <w:rsid w:val="7D1961AD"/>
    <w:rsid w:val="7F231565"/>
    <w:rsid w:val="7FD90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4">
    <w:name w:val="Body Text Indent"/>
    <w:basedOn w:val="1"/>
    <w:next w:val="1"/>
    <w:qFormat/>
    <w:uiPriority w:val="0"/>
    <w:pPr>
      <w:ind w:left="420" w:leftChars="200"/>
    </w:pPr>
  </w:style>
  <w:style w:type="paragraph" w:styleId="5">
    <w:name w:val="Plain Text"/>
    <w:basedOn w:val="1"/>
    <w:qFormat/>
    <w:uiPriority w:val="0"/>
    <w:rPr>
      <w:rFonts w:ascii="宋体" w:hAnsi="Courier New"/>
      <w:szCs w:val="20"/>
    </w:rPr>
  </w:style>
  <w:style w:type="paragraph" w:styleId="6">
    <w:name w:val="Body Text Indent 2"/>
    <w:basedOn w:val="1"/>
    <w:qFormat/>
    <w:uiPriority w:val="0"/>
    <w:pPr>
      <w:spacing w:after="120" w:line="480" w:lineRule="auto"/>
      <w:ind w:left="420"/>
    </w:pPr>
    <w:rPr>
      <w:rFonts w:ascii="Times New Roman" w:hAnsi="Times New Roman"/>
      <w:szCs w:val="20"/>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10">
    <w:name w:val="Body Text First Indent 2"/>
    <w:basedOn w:val="4"/>
    <w:next w:val="1"/>
    <w:qFormat/>
    <w:uiPriority w:val="0"/>
    <w:pPr>
      <w:ind w:firstLine="420" w:firstLineChars="200"/>
    </w:pPr>
  </w:style>
  <w:style w:type="character" w:styleId="13">
    <w:name w:val="Strong"/>
    <w:basedOn w:val="12"/>
    <w:qFormat/>
    <w:uiPriority w:val="22"/>
    <w:rPr>
      <w:b/>
      <w:bCs/>
    </w:rPr>
  </w:style>
  <w:style w:type="character" w:styleId="14">
    <w:name w:val="page number"/>
    <w:basedOn w:val="12"/>
    <w:qFormat/>
    <w:uiPriority w:val="0"/>
  </w:style>
  <w:style w:type="paragraph" w:customStyle="1" w:styleId="1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43</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2026-04-09T07:06:50Z</dcterms:created>
  <dc:creator>user</dc:creator>
  <cp:lastModifiedBy>Richael</cp:lastModifiedBy>
  <dcterms:modified xsi:type="dcterms:W3CDTF">2026-04-09T07:22:59Z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eyJoZGlkIjoiMmQyOGQ4ZWUxYTFmMTAzMjkwNmY0OWZjM2ZiMDFlYjMiLCJ1c2VySWQiOiIxNTIxMzQzMTE2In0=</vt:lpwstr>
  </property>
  <property fmtid="{D5CDD505-2E9C-101B-9397-08002B2CF9AE}" pid="4" name="ICV">
    <vt:lpwstr>9C81338EF61C4E80BCEBE42268557C71_12</vt:lpwstr>
  </property>
</Properties>
</file>